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16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diciembre de 2014 tuvo entrada en el Registro General de este Tribunal un oficio de la Sección Segunda de la Sala de lo Contencioso-Administrativo del Tribunal Superior de Justicia de Castilla-La Mancha, al que se acompaña, junto al testimonio del procedimiento ordinario núm. 116-2011, el Auto de 3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persona física, propietaria de una finca afectada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las fincas, que se encontraban en situación de rústicas.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la Sección Segunda de la Sala de lo Contencioso-Administrativo del Tribunal Superior de Justicia de Castilla-La Mancha dictó providencia de 8 de octubre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consideró pertinente el planteamiento de la cuestión de inconstitucionalidad respecto de los arts. 23.2, en relación con el art. 12, y 25 del Real Decreto Legislativo 2/2008, por su aparente contradicción con 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se opuso al planteamiento de la cuestión por lo que hace a los arts. 23.1 y 23.2 del Real Decreto Legislativo 2/2008, con el argumento de que la STC 141/2014, de 11 de septiembre, no los había declarado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consideró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3 de noviembre de 2014,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luego de referirse a los antecedentes de hecho del caso y de transcribir los preceptos cuestionados, aborda los requisitos de procedimiento.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sobre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limitados por las reglas que al efecto se contienen en la actual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que, aunque nada hay de inconstitucional en que la ley pueda establecer unos métodos de valoración determinados u otros, “sí afirmamos que será difícilmente constitucional cualquier método que de manera manifiesta impida dar con un valor real, valor que a nuestro juicio equivale a un valor que sea próximo al del mercado propio del bien de que se trate …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Solo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contra Reino Unido—, 9 de diciembre de 1994 —caso de los Santos Monasterios Griegos contra Grecia—, 4 de agosto de 2009 —caso Perdigao contra Portugal—, 4 de noviembre de 2010, 9 de octubre de 2003 o 26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2015, la Sección Segunda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la pérdida de objeto de la cuestión de inconstitucionalidad respecto al art. 25.2 a) del Real Decreto Legislativo 2/2008 y de su carácter notoriamente infundado (STC 218/2015, de 22 de octubre) respecto a los otros preceptos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27 de enero de 2016, en el que afirma que la presente cuestión de inconstitucionalidad debe ser resuelta siguiendo la dicción de los Autos de 19 de enero de 2016 dictados por este Tribunal en las cuestiones de inconstitucionalidad 6246-2014, 7766-2014, 7476-2014 y 7560-2014, entre otros, pues parten de los mismos presupuestos tanto respecto de los preceptos cuestionados del del Real Decreto Legislativo 2/2008 como de los preceptos constitucionales con los que, en su caso, entrarían en contradicción,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lo afirmado en los mismos concluye que procede declarar la inadmisión de la presente cuestión de inconstitucionalidad por pérdida sobrevenida de objeto de la presente cuestión de inconstitucionalidad respecto de los arts. 23.1 a), en los términos de la STC 141/2014, y 25.2 a) del del Real Decreto Legislativo 2/2008, y declarar manifiestamente infundada la presente cuestión de inconstitucionalidad respecto de los arts. 12, 23.2 y 25.1 del Real Decreto Legislativo 2/2008.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que plantea la cuestión considera que el art. 23.1 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el Tribunal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partiendo de lo resuelto en los AATC 6, 7, 8 y 10/2016, de 19 de enero de 2016, considera que procede declarar la inadmisión de la presente cuestión de inconstitucionalidad por pérdida sobrevenida de objeto respecto de los arts. 23.1 a), en los términos de la STC 141/2014, y 25.2 a) del Real Decreto Legislativo 2/2008, y declarar manifiestamente infundada la presente cuestión de inconstitucionalidad respecto de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