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16 de febrero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23 de septiembre de 2015, el Abogado del Estado, en nombre del Presidente del Gobierno, interpuso recurso de inconstitucionalidad contra el Decreto-ley de la Generalitat de Cataluña 7/2014, de 23 de diciembre, publicado en el “Diari Oficial de la Generalitat de Cataluña” núm. 6.777, de 24 de diciembre de 2014, por el que se deroga la letra b) del apartado 3 y el segundo párrafo del apartado 4 del art. 9 del Decreto-ley 1/2009, de 22 de diciembre, de ordenación de los equipamientos comerciales, solicitando que se declarase la inconstitucionalidad y nulidad del Decreto-ley impugnado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acodara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6 de octubre de 2015, el Pleno, a propuesta de la Sección Primera, admitió a trámite el referido recurso de inconstitucionalidad y acordó dar traslado de la demanda y de los documentos presentados, conforme a lo dispuesto en el art. 34 de la Ley Orgánica del Tribunal Constitucional (LOTC), al Congreso de los Diputados, al Senado, a la Generalitat y al Parlamento de Cataluña, por conducto de sus Presidentes, al objeto, de que, en plazo de quince días, pudieran personarse en el proceso y formular alegaciones. Asimismo se acordó tener por invocado por el Presidente del Gobierno el art. 161.2 CE, lo que, a su tenor y conforme dispone el art. 30 LOTC, produce la suspensión de la vigencia y aplicación de los preceptos impugnados desde la fecha de interposición del recurso, 23 de septiembre de 2015, para las partes del proceso y desde el día en que aparece publicada la suspensión en el “Boletín Oficial del Estado” para los terceros, comunicándose así a los Presidentes de la Generalitat y del Parlamento de Cataluña. Se acordó, por último, publicar la incoación del recurso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este Tribunal el 14 y 15 de octubre de 2015, el Presidente del Senado y el Presidente del Congreso comunicaron que por acuerdo de la Mesa de sus respectivas Cámaras, se acordó darse por personadas en este proceso constitucional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Abogada de la Generalitat de Cataluña, por escrito registrado en este Tribunal el 30 de octubre de 2015, se personó en este procedimiento en representación y defensa del Gobierno de la Generalitat y formuló alegaciones solicitando la desestimación del recurso de inconstitucionalidad. Por otrosí solicitó el levantamiento inmediato de la suspensión del Decreto-ley impugnado. Alega la Generalitat que, de acuerdo con la doctrina constitucional, es posible acordar el levantamiento de la suspensión antes de que transcurra el plazo de cinco meses al que se refiere el art. 161.2 CE, ya que el referido plazo constituye el límite máximo inicialmente previsto para la suspensión, incluyéndose, por tanto, la ratificación y el levantamiento de la suspensión dentro de dicho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aduce que, de acuerdo con la doctrina de este Tribunal, el levantamiento o mantenimiento de la suspensión derivada de la invocación del art. 161.2 CE ha de dirimirse tomando en consideración varios criterios. Considera, en primer lugar, que ha de partirse de la presunción de legitimidad de las normas, en especial de las que tienen rango de ley, en cuanto que entiende que existe un interés general en que las leyes sean eficaces al ser expresión de la voluntad popular. En segundo lugar, sostiene que han de ponderarse los distintos intereses en presencia, tanto el general y público, como, en su caso, el particular o privado de las distintas personas afectadas y, de otro, los perjuicios de imposible o difícil reparación que pueda producir la aplicación de la norma o su suspensión, que han de ser ciertos y efectivos y no meramente hipotéticos. Por otra parte, se indica que esta valoración ha de efectuarse al margen de la viabilidad de las pretensiones que se formulan en la demanda y de las consideraciones sobre la cuestión de fondo que resultan ajenas a dicha valoración. También se pone de manifiesto que el mantenimiento de la suspensión, en cuanto excepción a la regla general del mantenimiento de la eficacia de las normas, requiere que, el Gobierno, a quien se debe la iniciativa de la suspensión (art. 161.2 CE) aporte y razone con detalle los argumentos que la justifiquen.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Generalitat considera que el levantamiento de la suspensión de la vigencia y aplicación del Decreto-ley 7/2014 y la subsiguiente efectividad de la derogación de las excepciones a la implantación de los medianos y grandes establecimientos comerciales en la trama urbana consolidada durante el periodo que transcurra hasta que se dicte la sentencia que debe resolver el presente proceso no parece que pueda ocasionar perjuicios graves e irreparables ni al interés general de España ni a terceros, ya que la supresión de ciertas excepciones a la localización de los referidos centros comerciales no afecta a ninguna situación jurídica consolidada ni a ningún derecho preexistente en la medida que no altera el régimen legal de los establecimientos autorizados al amparo de las excepciones derogadas, sino que, a lo sumo, elimina las expectativas que eventualmente pudieran tener algunos operadores comerciales de situarse en las zonas colindantes a las tramas urbanas consolidadas. Se señala también que, en el caso de este Tribunal estimara el recurso y declarase la inconstitucionalidad de la derogación efectuada por el Decreto impugnado, los operadores que se consideraran perjudicados por esta norma podrían solicitar la reparación de los daños económicos eventualmente padecidos, pues, si tales daños se produjesen serían perfectamente identificables y fácilmente 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las referidas consideraciones la Generalitat solicita el levantamiento inmediato de la suspensión del Decreto-ley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Cataluña, por escrito de 2 de noviembre de 2015, se persona en este proceso y formula alegaciones solicitando que se dicte sentencia por la que se declare la extinción de este proceso constitucional por inexistencia de objeto o, subsidiariamente, se desestime el recurso en su integridad. Por otrosí solicita el levantamiento inmediato de la suspensión acordada en virtud del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Letrada del Parlamento, invocando la jurisprudencia constitucional, alega que es posible levantar la suspensión antes de que transcurra el plazo de cinco meses al que se refiere el art. 161.2 CE, ya que este precepto constitucional está estableciendo un plazo máximo, dentro del cual el Tribunal podrá levantar o mantener la suspensión acordada en su momento. Junto a ello pone de manifiesto que, de acuerdo con la jurisprudencia constitucional, la decisión sobre el mantenimiento o levantamiento de la suspensión, al ser una medida cautelar, ha de tomar en consideración únicamente las situaciones de hecho que se derivan del análisis de las normas impugnadas, al margen de la viabilidad de las pretensiones formuladas por las partes. Según se alega, esta decisión debe partir de la presunción de constitucionalidad de las leyes que determina que el mantenimiento de la suspensión sea una medida excepcional. Por ello considera que para que pueda adoptarse esta decisión es preciso que el Gobierno razone de modo consistente sobre la procedencia de esta medida y para ello deberá tomar en consideración los intereses concernidos, ya sean públicos y generales o particulares y privados, y los perjuicios de imposible o difícil reparación que se derivarían tanto del mantenimiento de la suspensión como de la vigencia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sostiene el Parlamento de Cataluña, la ponderación de los intereses en juego en el presente caso debe determinar el levantamiento de la suspensión, pues tal medida no afecta a ningún derecho público o general ni a ningún interés particular o privado, toda vez que los operadores económicos podrían iniciar las gestiones para solicitar las correspondientes licencias de implantación según el régimen vigente. Los perjuicios de difícil o imposible reparación podrían producirse, según sostiene esta parte procesal, si se mantiene la suspensión de la norma impugnada, pues ello podría dar lugar a la implantación indiscriminada en todo el territorio de Cataluña de establecimiento comerciales de gran formato (MEG, GEC y GECT), con los correspondientes efectos negativos que, de forma irreversible se producirían y que afectarían gravemente a la ordenación urbanística, al medio ambiente y a la protección del patrimonio histórico y artístico.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Parlamento de Cataluña solicita el levantamiento inmediato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del Pleno de 3 de noviembre de 2015 se acordó incorporar a los autos los escritos de alegaciones que formulan las Letradas de la Generalitat y del Parlamento de Cataluña y, en relación con las solicitudes de levantamiento de la suspensión que formulan por otrosí, otorgar un plazo de cinco días al Abogado del Estado para que exponga lo que estime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el 12 de noviembre de 2015, presentó en el Registro General de este Tribunal su escrito de alegaciones. Según sostiene, de acuerdo con la jurisprudencia constitucional, la decisión relativa al mantenimiento o levantamiento de la suspensión ha de adoptarse tras ponderar la gravedad de los perjuicios que ocasionaría las situaciones de hecho que previsiblemente se producirían en el caso de que se levantara o se mantuviera la suspensión. Entiende el Abogado del Estado que aunque el Tribunal alude a situaciones de hecho creadas, la realidad es que lo que con frecuencia ha de examinarse son las situaciones de hecho que podrían crearse. Por ello considera que lo que trata de evitar la medida que prevé el art. 161.2 CE es que tales situaciones se produzcan.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aduce también que, como se sostiene en el ATC 228/1992, de 21 de julio, el análisis del incidente ha de practicarse en función de las situaciones de hecho, con abstracción de la viabilidad de las pretensiones objeto del proceso, aun cuando resulte inevitable una mirada de soslayo, y, en definitiva, sin prejuzgar la cuestión principal. Alega el Abogado del Estado que toda medida cautelar dictada en un proceso judicial está basada en lo que se ha dado en dominar fumus bonis iuris. Según sostiene, hay un supuesto en el que adquiere especial relevancia la cuestión de fondo para la resolución del incidente y es el de las normas autonómicas dictadas con “manifiesta ausencia de cobertura” (ATC 243/1993, de 13 de julio). Por ello entiende que en estos casos la finalidad de la medida cautelar, además de prevenir perjuicios materiales en el sentido más patrimonial del término, puede consistir también en asegurar provisionalmente que aquella de las partes litigantes cuya pretensión, de acuerdo con la jurisprudencia existente sobre cuestiones similares, tenga muchas posibilidades de prosperar. De este modo, se logra evitar que la adopción de una actitud contumaz en el plano legislativo pueda alterar una situación consolidad en cuanto el criterio jurídico-constitucional de carácter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pone de manifiesto también que, de acuerdo con la doctrina constitucional, se puede tomar en consideración el fondo de la cuestión planteada para resolver el incidente de suspensión en aquellos casos en los que la ley autonómica conlleva un bloqueo de las competencias atribuidas al Estado por el bloque de la constitucionalidad, pues este supuesto excede de las situaciones normales de controversia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considera que en el caso de levantarse la suspensión de la eficacia del Decreto-ley impugnado se causaría perjuicios de imposible o difícil reparación, pues la vigencia de la norma impugnada conllevaría una ralentización del desarrollo económico sectorial a causa de las medidas restrictivas de la competencia establecidas en la misma. El Abogado del Estado fundamenta esta conclusión en el informe de 19 de octubre de 2015, elaborado por el Ministerio de Economía y competitividad sobre la conveniencia y necesidad de mantener la suspensión del Decreto-ley 7/2014, de 23 de diciembre, en el que se lleva a cabo un análisis cuantitativo de locales comerciales. En este informe se pone de manifiesto el descenso de número de establecimientos de comercio al por menor en Cataluña en el periodo de 2000-2014 que pasó de 108.242 a 94.982 y se sostiene que el número de estos establecimientos seguiría descendiendo si se mantiene la vigencia de la norma impugnada al considerarla restrictiva de la actividad comercial.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referido informe se analiza también la evolución del empleo —los puestos de trabajo en locales comerciales minoristas— y se pone de manifiesto que en el periodo comprendido entre el primer trimestre de 2002 y el tercer trimestre de 2014 los ocupados en el comercio minorista crecieron 1,6 puntos por debajo de la media española y el índice de los precios de consumo crecieron 5,2 puntos por encima de la media española. Y por último compara el número de comercio minorista según tamaño y llega a la conclusión de que comparada con la Comunidad de Madrid, Cataluña tiene mayor porcentaje y densidad de locales pequeños (hasta 300 m2), menor densidad de locales grandes (de más de 2.500 m2), lo que atribuye, en parte, a las dificultades para implantarse fuera de las tramas urbanas consolidadas, ya que dentro de la misma existen limitaciones de espacio. Y por último se efectúa una comparación entre Comunidades Autónomas sobre el número de nuevas licencias otorgadas a establecimientos comerciales durante el periodo 2010-2014, como dato empírico en cuanto que el movimiento y mayor dinamicidad en el mercado es consecuencia de una mayor liberalización.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sostiene que el levantamiento de la suspensión produciría una restricción de libertades de iniciativa económica evidente, lo que daría lugar a una disparidad de régimen respecto de otras Comunidades Autónomas, una ruptura de la unidad de mercado, al aplicarse en Cataluña un régimen diferente al resto de los comerciantes de toda España, y provocaría un perjuicio económico inmediato para comercios situados en territorio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además, la contumacia en la actividad legislativa disconforme con las competencias estatales atribuidas por la Constitución en esta materia y el potencial perjuicio económico de los inversores. El levantamiento de la suspensión conllevaría, según afirma el Abogado del Estado el incumplimiento de la STC 193/2013, de 21 de noviembre, y de nuevo la supresión de una perspectiva económica favorable para los empresarios titulares o explotadores de medianos y grandes establecimientos comerciales. En su opinión, esta conclusión puede mantenerse aunque el ATC 182/2015, de 3 de noviembre, haya acordado el levantamiento de la suspensión del art. 95 de la ley del Parlamento de Cataluña 3/2015, de 11 de marzo, de medidas fiscales, financieras y administrativas en el que se establece también una situación restrictiva de los establecimientos comerciales dentro de las instalaciones de los puertos de titularidad pública, ya que esta medida, no tiene carácter general, sino que, como se acaba de indicar, se circunscribe a áreas portuarias de titularidad pública. Por ello entiende, que como norma ahora impugnada, al derogar los apartados 3 y el segundo párrafo del apartado 4 del art. 9 del Decreto-ley 1/2009, de 22 de diciembre, de ordenación de los equipamientos comerciales, impide la implantación de centros comerciales fuera de las tramas consolidadas de los municipios y dentro de ellas si no reúnen ciertos requisitos que dicha Ley exige, lo que, en su opinión, supone el incumplimiento intencionado de la STC 193/20013, de 21 de noviembre, que declaró inconstitucional el art. 114 de la Ley del Parlamento de Cataluña 9/2011, de 29 de diciembre, que había dado una redacción a los apartados 3 y 4 del Decreto-ley 1/2009 más restrictiva que la que tenía en su redacción originaria.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considera que la vigencia de la norma impugnada puede crear inseguridad jurídica, producto de la intermitencia de situaciones favorables para el mercado y los inversores en grandes superficies comerciales en este sector del comercio minorista derivada de la STC 193/2013, que declaró inconstitucionales y nulos los apartados 3 y 4 del art. 9 del Decreto-ley 1/2009, de 22 de diciembre, de ordenación de equipamientos comerciales de Cataluña, en la redacción dada a los mismos por el art. 114 de la Ley del Parlamento de Cataluña 9/2011, de 29 de diciembre, de promoción de la actividad económica, y de la aprobación de una nueva regulación autonómica que, en contra de las medidas liberalizaras establecidas en la legislación básica estatal, vuelve a imponer las medidas restrictivas para el establecimiento de este tipo de establecimientos comerciales. Junto a ello se alega también que, al haber liberalizado la norma estatal un sector concreto de la actividad económica, y, por tanto, incidir en la ordenación general de la economía, las bases estatales pueden tener carácter agotador de la materia y no permitir el desarrollo autonómico, citando en su apoyo la doctrina contenida en la STC 225/1993, de 8 de julio, FJ 4, y otras posteriores.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aduce que la finalidad del Decreto-ley impugnado es evitar la eficacia vinculante de las resoluciones del Tribunal Constitucional, en concreto, de la STC 193/2013. Según se alega, el Decreto-ley impugnado, al no tener otro objeto que el de derogar la letra b) del apartado 3 y el segundo párrafo del apartado 4 del art. 9 del Decreto-ley 1/2009, de 22 de diciembre, de ordenación de los equipamientos comerciales, conlleva que en esta materia resulte aplicable una regulación similar a la que la STC 193/2013 declaró inconstitucional.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consiste en determinar si, en aplicación del art. 161.2 CE, procede levantar o mantener la suspensión de la vigencia del Decreto-ley de la Generalitat de Cataluña 7/2014, de 23 de diciembre, por el que se deroga la letra b) del apartado 3 y el segundo párrafo del apartado 4 del art. 9 del Decreto-ley 1/2009, de 22 de diciembre, de ordenación de los equipamientos comerciales. Como se ha expuesto en los antecedentes, las representaciones procesales de la Generalitat y del Parlamento de Cataluña han solicitado al Tribunal que se pronuncie sobre el levantamiento de la suspensión antes de que transcurran los cinco meses previstos en el art. 161.2 CE y acuerde el levantamiento de la misma. Por el contrario, el Abogado del Estado solicita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la doctrina de este Tribunal, la solicitud de levantamiento de la suspensión antes de que transcurran los cinco meses previstos en el art. 161.2 CE, formulada tanto por la Generalitat como por el Parlamento de Cataluña, es viable procesalmente, pues dentro del expresado plazo de cinco meses, que constituye el límite máximo inicialmente previsto para la suspensión, el Tribunal tiene la potestad de ratificarla o levantarla (entre otros muchos, ATC 75/2010, de 30 de junio, FJ 2; 183/2011, de 14 de diciembre, FJ 2; 88/2013, de 23 de abril, FJ 2; 280/2013, de 3 de diciembre, y 196/2015, de 18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es doctrina constitucional reiterada que la resolución de este incidente cautelar requiere ponderar, de un lado, los intereses que se encuentran concernidos, tanto el público y general como los privados, y, de otro, los perjuicios de imposible o difícil reparación que puedan derivarse del mantenimiento de la suspensión. Asimismo, el Tribunal ha sostenido que el mantenimiento de la suspensión requiere que el Gobierno, a quien se debe la iniciativa, no solo invoque la existencia de aquellos perjuicios, sino que es igualmente necesario demostrar o, al menos, razonar consistentemente su procedencia y su imposible o difícil reparación, ya que debe partirse en principio de la existencia de una presunción de constitucionalidad a favor de las normas o actos objeto de conflicto (entre otros muchos, AATC, 147/2012, de 16 de julio, 157/2013, de 11 de julio, FJ 2, y 122/2015, FJ 2). Además, ha establecido que la resolución de este tipo de incidentes ha de efectuarse atendiendo a las situaciones de hecho creadas y al margen de la viabilidad de las pretensiones que se formulen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existen supuestos en los que, por excepción, este último criterio no resulta de aplicación y el incidente de suspensión ha de resolverse atendiendo a la apariencia de buen derecho. Así ocurre en aquellos casos en que los preceptos impugnados contienen previsiones muy similares a los de otros preceptos que han sido declarados inconstitucionales y nulos por Sentencia de este Tribunal (AATC 78/1987, de 22 de enero, FJ 2; 183/2011, de 14 de diciembre, FJ 4, y 182/2015, de 3 de noviembre de 2015, FJ 6). Por ello, como se afirma en el ATC 183/2011, de 14 de diciembre, FJ 4, “[e]ste criterio —similitud intensa o coincidencia literal con normas declarada inconstitucionales y nulas por este Tribunal— es, pues, un supuesto cualificado de apariencia de buen derecho que se aparta de lo que es regla general y que por tanto es fundamento suficiente para mantener la suspensión establecida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aduce en sus alegaciones que el Tribunal, en determinadas ocasiones, ha otorgado relevancia a la cuestión de fondo para resolver la medida cautelar acudiendo al fumus boni iuris para resolver este incidente de suspensión. De ahí que se deba analizar, en primer lugar, si en el presente caso nos encontramos ante uno de los supuestos en los que excepcionalmente puede resolverse el presente incidente de suspensión atendiendo al criterio de la apariencia de buen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acaba indicar, el Tribunal ha admitido excepcionalmente que pueda tenerse en consideración el fumus boni iuris para resolver este tipo de incidentes y para ello ha exigido que la norma sobre la que versa el incidente de suspensión tenga una “similitud intensa o coincidencia literal” (ATC 183/2011, de 14 de diciembre, FJ 4) con otra declarada inconstitucional y nula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derogación de la letra b) del apartado 3 y el segundo párrafo del apartado 4 del art. 9 del Decreto-ley 1/2009, de 22 de diciembre, de ordenación de los equipamientos comerciales, que efectúa el Decreto-ley 7/2014 ahora impugnado determina que la nueva redacción el Decreto-ley 1/2009, tras esta modificación, tenga el mismo contenido que el que otorgó el art. 114 de la Ley del Parlamento de Cataluña 9/2011, a los apartado 3 y 4 del art. 9 del Decreto-ley 1/2009; los cuales fueron declarados inconstitucionales y nulos por la STC 193/2013, de 21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apartados 3 y 4 del art. 9 del Decreto-ley 1/2009 en la redacción que les confirió el art. 114 de la ley 9/2011 eran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medianos establecimientos comerciales y los grandes establecimientos comerciales sólo pueden implantarse en la trama urbana consolidada de los municipios de más de 5.000 habitantes o asimilables a éstos o que sean capital de comarca. Se entiende por municipio asimilable a uno de más de 5.000 habitantes el que dispone de una población equivalente a tiempo completo anual (ETCA) superior a esta cantidad, según los últimos datos oficiales del Instituto de Estadística de Cataluña (Idescat).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Excepcionalmente, los medianos establecimientos comerciales y los grandes establecimientos comerciales pueden implantarse también fuera de la trama urbana consolidada si la implantación se produce dentro de las zonas de acceso restringido de las estaciones de líneas transfronterizas y transregionales del sistema ferroviario que acogen el tren de alta velocidad o líneas de largo recorrido, de los puertos clasificados de interés general y de los aeropuertos con categoría de aeropuertos comerciales según el plan de aeropuertos, aeródromos y helipuertos de Cataluña 2009-2015.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grandes establecimientos comerciales territoriales pueden implantarse únicamente en la trama urbana consolidada de los municipios de más de 50.000 habitantes o los asimilables a éstos o que sean capital de comarca. Se entiende por municipio asimilable a uno de más de 50.000 habitantes el que dispone de una población equivalente a tiempo completo anual (ETCA) superior a esta cantidad, según los últimos datos oficiales del Instituto de Estadística de Cataluña (Idescat).”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indicado, la STC 193/2013, de 21 de noviembre, declaró la inconstitucionalidad y nulidad de los preceptos transcritos. Tras esta Sentencia se dictó la Ley 2/2014, de 27 de enero, de medidas fiscales, administrativas, financieras del sector público de Cataluña, la cual, en la disposición adicional vigésima séptima, declaró vigentes los apartados 3 y 4 del artículo 9 del Decreto-ley 1/2009, de 22 de diciembre, de ordenación de los equipamientos comerciales, en la redacción que tenían en el momento de entrar en vigor el 29 de diciembre de 2009, en los que se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medianos establecimientos comerciales y los grandes establecimientos comerciales sólo pueden implantarse en la trama urbana consolidada de los municipios de más de 5.000 habitantes o asimilables a éstos o que sean capital de comarca. Por reglamento, deben concretarse las características que han de concurrir para poder considerar un municipio como asimilable a uno de más de 5.000 habitantes.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Excepcionalmente se pueden implantar también fuera de la trama urbana consolidada cuando concurra alguna de las circunstancias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la implantación se produzca dentro de las zonas de acceso restringido de las estaciones de líneas transfronterizas y transregionales del sistema ferroviario que acojan el tren de alta velocidad o líneas de largo recorrido, de los puertos clasificados de interés general y de los aeropuertos con categoría de aeropuertos comerciales, según el Plan de aeropuertos, aeródromos y helipuertos de Cataluña 2009-2015.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Que sea justificada la localización fuera de la trama urbana consolidada de un establecimiento individual y siempre que se cumplan todas y cada una de las condiciones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emplazamiento tiene que estar situado en continuidad física con el tejido urbano residencial, que configura la TUC, sin que pueda estar separado de ésta por ninguna barrera física no permeable significativa.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planeamiento urbanístico ha de admitir el uso comercial con carácter dominante o principal en la parcela donde se pretende implantar el establecimiento comercial.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establecimiento comercial ha de localizarse en parcela aislada con acceso principal desde la calle perimetral a la TUC. Esta calle ha de dar continuidad o complementar la red viaria principal del municipio y facilitar la conexión urbana para peatones y bicicletas desde la zona residencial confrontante.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establecimiento comercial debe estar a una distancia inferior a 200 metros, respecto de la entrada principal, de una parada de transporte público urbano integrado en la red municipal o se ha de prever la instalación de paradas, terminales o estaciones para atender los flujos de público previsibles.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excepcionalidad a que se refiere el apartado b) puede ser válida también para establecimientos comerciales colectivos, si en el momento de la solicitud de la licencia comercial ya queda definido el proyecto comercial, el cual tiene que cumplir todas y cada una de las características del artículo 5.b), así como el resto de las condiciones de la excepcionalidad mencionada.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reglamento se deben detallar las condiciones de estas excepcionalidades.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grandes establecimientos comerciales territoriales pueden implantarse únicamente en la trama urbana consolidada de los municipios de más de 50.000 habitantes o los asimilables a éstos o que sean capital de comarca. Por reglamento, deben concretarse las características que han de concurrir para considerar un municipio como asimilable a uno de más de 50.000 habitantes.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Excepcionalmente, estos establecimientos pueden implantarse fuera de la trama urbana consolidada cuando concurran las circunstancias previstas en el apartado a) y b) del punto 3 de este artículo, siempre que se justifique también la conexión al transporte público interurbano.”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regulación, mediante la que se dispone que, de forma excepcional y cumpliendo una serie de requisitos, pueden implantarse grandes establecimientos comerciales fuera de la trama urbana consolidada, es la que modifica el Decreto-ley 7/2014 ahora impugnado, derogando los apartados en los que excepcionalmente se permitía la implantación de medianos y grandes centros comerciales fuera de la trama urbana consolidada.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apartados 3 y 4 art 9 del Decreto-ley 1 /2009, después de la reforma que efectúa la norma ahora impugnada, disponen: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medianos establecimientos comerciales y los grandes establecimientos comerciales sólo pueden implantarse en la trama urbana consolidada de los municipios de más de 5.000 habitantes o asimilables a éstos o que sean capital de comarca. Por reglamento, deben concretarse las características que han de concurrir para poder considerar un municipio como asimilable a uno de más de 5.000 habitantes.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Excepcionalmente se pueden implantar también fuera de la trama urbana consolidada cuando concurra alguna de las circunstancias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la implantación se produzca dentro de las zonas de acceso restringido de las estaciones de líneas transfronterizas y transregionales del sistema ferroviario que acojan el tren de alta velocidad o líneas de largo recorrido, de los puertos clasificados de interés general y de los aeropuertos con categoría de aeropuertos comerciales, según el Plan de aeropuertos, aeródromos y helipuertos de Cataluña 2009-2015.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excepcionalidad a que se refiere el apartado b) puede ser válida también para establecimientos comerciales colectivos, si en el momento de la solicitud de la licencia comercial ya queda definido el proyecto comercial, el cual tiene que cumplir todas y cada una de las características del artículo 5.b), así como el resto de las condiciones de la excepcionalidad mencionada.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reglamento se deben detallar las condiciones de estas excepcionalidades.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grandes establecimientos comerciales territoriales pueden implantarse únicamente en la trama urbana consolidada de los municipios de más de 50.000 habitantes o los asimilables a éstos o que sean capital de comarca. Por reglamento, deben concretarse las características que han de concurrir para considerar un municipio como asimilable a uno de más de 50.000 habitantes.”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que, como consecuencia de la modificación legislativa que efectúa el Decreto-ley ahora impugnado, en Cataluña solo puede instalarse este tipo de establecimientos comerciales en los municipios que cuenten con un número de habitantes (5.000, en el caso de los medianos y grandes establecimientos y de 50.000 en el de grandes establecimientos territoriales), que sean capital de comarca, o que la implantación se produzca dentro de las zonas de acceso restringido de las estaciones de líneas transfronterizas y transregionales del sistema ferroviario, que acojan al tren de alta velocidad o líneas de largo recorrido, de los puertos clasificados de interés general y de los aeropuertos comerciales. De ahí que la norma ahora impugnada, al derogar los apartados del precepto en los que excepcionalmente se permitía la instalación de este tipo de establecimientos fuera de la trama urbana consolidada, ha establecido una regulación de contenido muy similar a la que este Tribunal declaró inconstitucional en la STC 193/2013.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existir una gran similitud entre la normativa que declaró inconstitucional y nula la STC 193/2013 y la que regula esta materia tras la derogación que lleva a cabo la norma impugnada en este proceso constitucional, la presunción de constitucionalidad de la Ley impugnada debe ceder ante la apariencia de buen derecho que se deriva de la referida Sentencia y, por ello, ha de mantenerse la suspensión de la eficacia del Decreto-ley impugnado al concurrir el presupuesto que, por excepción, permite resolver el incidente de suspensión en virtud del criterio del fumus boni iuris o apariencia de buen derecho.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Decreto-ley de la Generalitat de Cataluña 7/2014, de 23 de diciembre, por el cual se deroga la letra b) del apartado 3 y el segundo párrafo del apartado 4 del art. 9 del Decreto-ley 1/2009, de 22 de diciembre, de ordenación de los equipamientos comerciales.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