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25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impugnan Autos de 30 de mayo de 2011 y 1 de junio de 2012 dictados por la Sección Séptima de la Sala de lo Contencioso-Administrativo del Tribunal Supremo en el recurso ordinario 153-2011.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25 de febrero de 2016 el Magistrado don Antonio Narváez Rodríguez comunicó a los efectos oportunos que se abstenía de intervenir en el antes indicado recurso de amparo, de conformidad con el art. 80 de la Ley Orgánica del Tribunal Constitucional, por haber representado al Ministerio Fiscal en el recurso 153-2011 interpuesto ante el Tribunal Supremo, proceso del que trae causa el presente recurso de amparo núm. 4703-2012.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Sala del Tribunal Constitucional, la Sala, en virtud de lo previsto en el art. 219 apartados 13 y 16 de la Ley Orgánica del Poder Judicial, supletoria de la Ley Orgánica del Tribunal Constitucional: LOTC (art. 80), estima justificada la causa de abstención formulada, puesto que el mencionado Magistrado intervino en representación del Ministerio Fiscal en el recurso ordinario 153-2011 seguido en la Sección Séptima de la Sala de lo Contencioso-Administrativo del Tribunal Supremo que dictó los Autos de fechas 30 de mayo de 2011 y 1 de junio de 2012, resoluciones que han sido impugnadas en el presente recurso de amparo núm. 4703-2012.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4703-2012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