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48</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29 de febrero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7 de septiembre de 2015 tuvo entrada en el Registro General de este Tribunal escrito firmado por la Procuradora de los Tribunales doña Isabel Juliá Corujo, en nombre y representación de Sporafrik, S.L., en virtud del cual interponía recurso de amparo contra el Auto del Juzgado de Primera Instancia núm. 2 de Orihuela de 24 de junio de 2015, dictado en autos de ejecución hipotecaria núm. 175-2014, que desestimó la solicitud de nulidad de actuaciones promovida por la sociedad citada, así como contra todas las actuaciones posteriores a la admisión de la demanda de ejecución hipotecaria y notificación y emplazamiento de la ahora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Frente a la sociedad demandante de amparo se siguió un proceso de ejecución hipotecaria a instancias del Banco Popular, S.A. De conformidad con lo dispuesto en los arts. 225 y siguientes de la Ley de enjuiciamiento civil, Sporafrik, S.L., interesó la nulidad de actuaciones, aduciendo indefensión. Denunciaba que el emplazamiento se realizó por edictos en un domicilio distinto al inscrito en el Registro Mercantil, al haber sido objeto de modificación dicho domicilio por escritura autorizada el día 12 de marzo de 2009, inscrita en el Registro Mercantil de Alicante, y publicada en el “Boletín Oficial del Registro Mercantil” el día 5 de junio de 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de 24 de junio de 2015 desestimó la solicitud de nulidad considerando que no se había producido vulneración alguna del derecho del recurrente ni de la doctrina constitucional en la materia (extracta la STC 122/2013, de 20 de mayo), dado que “en nuestro caso, se fijó un domicilio a efectos de notificaciones en la escritura pública, sin que en el procedimiento hubiera constancia de ningún otro domicilio real distinto del demandado”. De hecho, añade a renglón seguido, “en la escritura de novación de hipoteca de fecha 29 de septiembre de 2010, objeto de autos, se indica por el ejecutado como domicilio a efectos de notificaciones calle … 43, bajo de Alicante, y dicha escritura es de fecha posterior al cambio social del domicilio que invoca la ejecutada que data del año 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sociedad demandante de amparo denuncia en su recurso la vulneración del derecho a la tutela judicial efectiva sin indefensión (art. 24.1 CE). A su juicio, el razonamiento del Juzgado descarta la obligación del órgano judicial de averiguar el domicilio real y efectivo de la parte demandada, en contra de lo que dispusieron las SSTC 122/2013, de 20 de mayo, y 89/2015, de 11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solicita por medio de otrosí la suspensión de los efectos del Auto recurrido, con el fin de que no se cause un daño irreparable con la adjudicación a la ejecutante de los inmuebles controvertidos.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1 de febrero de 2016, la Sección Cuarta de este Tribunal acordó admitir a trámite el recurso de amparo. Por providencia de la misma fecha, la Sección acordó formar la oportuna pieza para la tramitación del incidente de suspensión y, conforme a lo dispuesto en el art. 56 de la Ley Orgánica del Tribunal Constitucional, concedió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presentado el 11 de febrero de 2016, la Procuradora doña Isabel Juliá Corujo, en nombre y representación de Sporafrik, S.L., formuló sus alegaciones, afirmando, en síntesis, que de no acordarse la suspensión se producirían perjuicios irreparables ya que los inmuebles de su propiedad podrían pasar al dominio de terceros de manera legalmente irreivindicable.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registrado el 15 de febrero de 2016, se opone a la suspensión solicitada. Tras exponer los antecedentes del caso, señala que nos encontramos ante una decisión de contenido patrimonial que afecta a propiedades inmobiliarias, por lo que podrían restaurarse los derechos afectados por la vía indemnizatoria en caso de que se llegara a culminar la adjudicación de los bienes. Por lo demás, añade, tratándose de un inmueble empresarial, no quedan afectados otros bienes de prevalencia en caso de conflicto, como ocurriría en el supuesto de que la hipoteca gravara una vivienda familiar.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se ha expuesto en los antecedentes de esta resolución, la sociedad demandante de amparo ha denunciado la indefensión que dice haber sufrido al no habérsele notificado correctamente por el Juzgado de Primera Instancia núm. 2 de Orihuela el procedimiento de ejecución hipotecaria núm. 175-2014. Por este motivo ha solicitado la suspensión cautelar de los efectos del Auto de 24 de junio de 2015, ya que, según ha razonado, de no acordarse la suspensión de su ejecución y efectos aparejados a ella podrían producirse actos de adjudicación sobre bienes inmuebles de su propiedad y consolidarse una situación difícilmente reversible. El Ministerio Fiscal considera, en cambio, que no procede la concesión de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una consolidada doctrina constitucional, de la que es buena muestra el ATC 74/2013, de 8 de abril, y las resoluciones que en él se citan, este Tribunal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esta doctrina constitucional, y sin prejuzgar la decisión de fondo del recurso, procede acordar la suspensión solicitada, puesto que en otro caso se podría llegar a materializar la transmisión del dominio de los bienes inmuebles controvertidos, tanto por haberlo solicitado el ejecutante en escritos de 24 de febrero, 7 de mayo y 9 de julio de 2015, presentados al órgano judicial una vez celebrada subasta el 23 de febrero de 2015 sin que compareciera ningún licitador, como por el hecho de haber sido señalada una segunda subasta (folio 286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Podría crearse, en consecuencia, una situación difícilmente reversible que haría perder al recurso de amparo su finalidad. Por lo demás, no se advierte en este momento procesal, atendidas las circunstancias efectivamente acreditadas, que la suspensión de la ejecución pueda entrañar una perturbación grave a un interés constitucionalmente protegido o a los derechos fundamentales o libertades públicas de un tercero.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Suspender la ejecución de la resolución recurrida y de toda actuación judicial sucesiva que pueda tener como efecto la adjudicación a terceros de los inmuebles controvertidos.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febrero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