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5755/2012 promovido por la Asamblea de Extremadura contra los arts. 27 y 38 del Real Decreto-ley 20/2012, de 13 de julio, de medidas para garantizar la estabilidad presupuestaria y de fomento de la competitividad.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octubre de 2012, dos Diputados de la Asamblea de Extremadura, comisionados al efecto por el Pleno de la Cámara, promueven recurso de inconstitucionalidad contra los arts. 27 y 38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38 del Real Decreto-ley 20/2012 la demanda recuerda la doctrina constitucional acerca de la autonomía financiera de las Comunidades Autónomas señalando que la máxima expresión de esa autonomía se pone de manifiesto cuando una Comunidad Autónoma crea una nueva figura tributaria, con los límites constitucionalmente establecidos, por su Estatuto de Autonomía y por la Ley Orgánica 8/1980, de 22 de septiembre, de financiación de las Comunidades Autónomas (LOFCA). Señala a continuación que la modificación por el Real Decreto-ley 20/2012 de los apartados 4 del art. 17 y 5 del art. 18 de la Ley 54/1997, de 27 de noviembre, del sector eléctrico, al disponer la repercusión obligatoria de los tributos o recargos autonómicos que graven este ámbito a los consumidores que residan en su territorio, modifica un aspecto esencial, la prohibición de repercusión a los consumidores de energía, de la regulación de un tributo autonómico, creado por la Ley 7/1997, de 29 de mayo, de medidas fiscales sobre la producción y el transporte de energía que incidan sobre el medio ambiente, como expresión de su naturaleza extrafiscal. Dicha obligación de repercusión haría perder al tributo autonómico su finalidad. La demanda argumenta que carece de sentido “obligar a repercutir un impuesto cuando puede controlarse que su pago no genera ningún efecto en el precio final de la energía”. A la expresa vulneración de la autonomía financiera autonómica se sumaría, según la demanda, la contradicción que la obligación de repercusión supone, repercusión que ha sido ya expresamente prohibida por el legislador autonómico en el art. 16.2 del Decreto Legislativo 2/2006, de 12 de diciembre, por el que se aprueba el texto refundido de las disposiciones legales de la Comunidad Autónoma de Extremadura en materia de tributos propios. Contradicción que, en aplicación del principio de competencia, ha de resolverse a favor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 se alega que las modificaciones introducidas en el régimen de los horarios comerciales infringen la distribución de competencias entre el Estado y las Comunidades Autónomas, vulnerando lo establecido en el art. 9.1.16 del Estatuto de Autonomía de Extremadura que atribuye a esa Comunidad Autónoma competencias exclusivas en materia de comercio minorista. La demanda alude a la doctrina constitucional acerca de la posible incidencia de normas básicas sobre las competencias autonómicas en materia de comercio interior al amparo del art. 149.1.13 CE, pero estima que “si bien el Estado puede legislar con carácter básico sobre la libertad de horarios, lo que no puede hacer es limitarlos de forma absoluta, descendiendo en la regulación con tal grado de detalle que impida la legislación de desarrollo autonómica”. La Asamblea de Extremadura entiende que los objetivos que dicen perseguirse por la norma impugnada no justifican su adopción al amparo del art. 149.1.13 CE, argumentando la imposibilidad de que los fines buscados por las reformas en los horarios comerciales permitan vaciar la competencia autonómica, dado que no tendrían la incidencia directa y significativa en la actividad económica general. Por el contrario, la demanda sostiene que “la estructuración u ordenación del mercado de la distribución corresponde en primera instancia a las Comunidades Autónomas a las que el bloque de la constitucionalidad ha atribuido la competencia exclusiva sobre comercio interior y, en consecuencia, la posibilidad de diseñar políticas comerciales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noviembre de 2012 el Pleno, a propuesta de la Sección Segunda, acordó admitir a trámite el recurso de inconstitucionalidad promovido por la Asamblea de Extremadura en relación con los arts. 27 y 38 del Real Decreto-ley 20/2012, de 13 de julio, de medidas para garantizar la estabilidad presupuestaria y de fomento de la competitividad;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19 de noviembre de 2012 el Abogado del Estado se personó en nombre del Gobierno solicitando una prórroga en el plazo inicialmente concedido para la formulación de alegaciones, prórroga que le fue concedida por providencia del Pleno de 20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23 de noviembre de 2012, el Presidente del Congreso de los Diputados comunicó el acuerdo de la Mesa de la Cámara de personarse en el procedimiento y ofrecer su colaboración a los efectos del art. 88.1 LOTC. Lo mismo hizo el Presidente del Senado mediante escrito registrado el día 28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en representación del Gobierno, fueron registradas en este Tribunal el día 17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38 del Real Decreto-ley 20/2012 indica que la demanda funda sus alegaciones en la contradicción con una norma autonómica, el art. 16.2 del Decreto Legislativo 2/2006, de 12 de diciembre, por el que se aprueba el texto refundido de las disposiciones legales de la Comunidad Autónoma de Extremadura en materia de tributos propios. Por el contrario considera que el encuadramiento correcto de la cuestión controvertida lleva a considerar que la norma supone un adecuado ejercicio de las competencias estatales en relación con el régimen económico del sector eléctrico, tal como se definen en las SSTC 18/2011 y 148/2011, siendo el título estatal prevalente para su establecimiento el del art. 149.1.13 CE. Conforme con ello estima que el legislador básico estatal, dentro del ámbito de sus competencias, se limita a garantizar la existencia de un régimen económico único para todo el territorio nacional del sector eléctrico, evitando que el sobrecoste originado por decisiones con vigencia territorial limitada afecten a todos los consumidores de España. Lo que el legislador estatal pretende con la reforma impugnada “es que los tributos autonómicos no tengan repercusión en el precio final de la energía eléctrica que se deba pagar en todo el territorio nacional, sino que se soporte en aquellas Comunidades Autónomas que decidan imponerlo, en coherencia con el principio de territorialidad consignado en el artículo 9 LOFCA”. Esta finalidad se concreta sin cuestionar las decisiones autonómicas de imponer determinados tributos mediante una previsión que “garantice que el desenvolvimiento y la aplicación del tributo no tenga incidencia en los precios del sistema eléctrico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27, el Abogado del Estado considera que debe inadmitirse el recurso por incumplimiento de la carga alegatoria pues la demanda “no especifica qué apartados de este extenso precepto considera inconstitucionales y tampoco del cuerpo del escrito se deducen concretos reproches a sus diferentes enunciados más allá de la genérica alegación de que la regulación estatal habría alcanzado ‘tal grado de detalle que impid(e) la legislación de desarrollo autonómica’”, sin que esa afirmación se proyecte a concretos preceptos o enunciados del extenso art.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el Tribunal decida entrar en el fondo del asunto el Abogado del Estado justifica la plena constitucionalidad del precepto impugnado. Comienza aludiendo a la doctrina constitucional sobre la extensión de las bases en materia de horarios comerciales en las que se han examinado normas estatales que permitían muy diversos grados de liberalización y, por tanto, un correlativo mayor o menor espacio de desarrollo autonómico. De dicha doctrina el Abogado del Estado deduce que “el Tribunal ha reiterado que cuando la normativa estatal básica desregule, por liberalizar, un sector, resulta lógico que no permita normativa autonómica de desarrollo, salvo que ésta se limitase a reproducir la liberalización ya efectuada desde la norma básica. Pero es que además, una norma básica que afecte sólo a una submateria —horarios comerciales— de un título competencial autonómico más amplio —comercio interior—, nunca puede producir un vaciamiento, por sí sola, de esta competencia, dado que ésta siempre tendría un ámbito material más extenso sobre el que podría seguir desplegándose, y que no quedaría afectado por el ejercicio por el Estado de la competencia liberalizadora en materia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defiende el carácter materialmente básico del precepto señalando que el mismo “pretende establecer un régimen mínimo de libertad de horario, dentro del cual el legislador autonómico pueda optar por grados superiores de liberalización; articulándose, por tanto, según el esquema clásico del par bases-norma de desarrollo”. El art. 27 del Real Decreto-ley 20/2012 da nueva redacción a los artículos 3.1, 4 y 5 de la Ley 1/2004, de 21 de diciembre, de horarios comerciales. La nueva redacción del artículo 3.1 de la Ley de horarios comerciales fija el número de horas mínimas en que los comercios podrán estar abiertos semanalmente en 90, frente a las 72 que establecía la redacción anterior. Para el Abogado del Estado se trata de una formulación típicamente básica en la que se opta por fijar un mínimo nacional de liberalización por razones económicas, que las Comunidades Autónomas pueden aumentar, gozando, por tanto, de margen de desarrollo. El art. 4 de la Ley de horarios comerciales, al modificar el régimen de domingos y festivos de apertura, se limita a concretar mínimos de liberalización que pueden incrementarse y lo mismo sucede con los criterios dentro de los cuales las Comunidades Autónomas deberán decidir, en ejercicio de su autonomía, qué concretos domingos y festivos permiten a los comercios abrir en sus territorios. Respecto al art. 5, entiende que la queja se circunscribe a los apartados 4 y 5, pues los restantes se ajustan a la doctrina de la STC 140/2011. En cuanto a los mencionados entiende que no se les puede reprochar el agotamiento de la regulación por cuanto el Estado se ha limitado a precisar los criterios mínimos que deben seguir las Comunidades Autónomas para determinar las denominadas zonas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rebate, aludiendo a la memoria de impacto normativo del Real Decreto-ley 20/2012, las afirmaciones de la demanda acerca de la falta de incidencia de las medidas sobre el sistema económico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marzo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la Asamblea de Extremadura contra los arts. 27 y 38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representación procesal de la Asamblea de Extremadura denuncia que el art. 27 vulnera las competencias autonómicas en materia de comercio, alegando que la modificación de la normativa en materia de horarios comerciales no cumple el requisito de resultar eficaz para el fomento de la actividad económica y no puede ampararse en el art. 149.1.13 CE. Por su parte al art. 38 se le imputa la vulneración de la autonomía financiera de la Comunidad Autónoma, en cuanto que, al disponer la repercusión obligatoria de los tributos o recargos autonómicos a los consumidores del territorio, altera la previa configuración de un tributo autonómico en el que establecía expresamente la prohibición de repercusión a los consumidores de energía. El Abogado del Estado ha negado las vulneraciones denunciadas respecto al art. 38 y solicitando la inadmisión y, subsidiariamente, la desestimación del recurso, en lo relativo al art.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fondo de la impugnación planteada es necesario pronunciarse acerca del óbice procesal formulado por el Abogado del Estado que ha solicitado la inadmisión del recurso en lo que respecta al art. 27 del Real Decreto-ley 20/2012, dado que, a su entender, la demanda no habría justificado la vulneración competencial que le imputa, incumpliendo con ello la necesaria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notorio que la carga argumental en torno a la inconstitucionalidad del precepto corresponde a la parte que lo impugna. Al igual que afirmamos en las SSTC 195/2012, de 31 de octubre, FJ 4, y 84/2013 de 11 de abril, FJ 3, “resulta de aplicación la doctrina recopilada en la STC 158/2011, de 19 de octubre, según la cual ‘no basta la mera invocación formal de los preceptos en la demanda (STC 98/1989, de 1 de junio,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de 12 de mayo, FJ 7 B); 214/1994, de 14 de julio, FJ 3; 195/1998, de 1 de octubre, FJ 1]. Efectivamente, hemos de recordar aquí una vez más que la impugnación de las normas debe ir acompañada de la preceptiva fundamentación y precisión que permitan conocer las razones por las que los recurrentes entienden que las disposiciones impugnadas transgreden el orden constitucional (SSTC 118/1996, de 27 de junio, FJ 2; y 118/1998, de 4 de junio,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este Tribunal no puede reconstruir de oficio la demanda ni suplir las razones de los recurrentes cuando éstas no se aportan en su recurso (entre otras muchas, STC 208/2014, de 15 de diciembre, FJ 4), pero, teniendo presentes las alegaciones de la demanda, hemos de concluir que en este caso se ha cumplido la carga alegatoria. La demanda cita expresamente tanto los preceptos constitucional, art. 149.1.13 CE, como estatutario, art. 9.1.16 del Estatuto de Autonomía de Extremadura, que entiende vulnerados y, a partir de ellos, desarrolla una argumentación en el que la infracción de la competencia autonómica en materia de comercio interior, por el carácter excesivamente detallado de la regulación que impide el desarrollo autonómico, se vincula a la queja genérica de la falta de carácter básico del precepto impugnado por no tratarse de una medida de política económica que pueda adoptarse por el Estado al amparo del art. 149.1.13 CE. Es cierto que, como alega el Abogado del Estado, la argumentación se formula de un modo genérico o global, pues esas afirmaciones no se concretan luego respecto a cada uno de los aspectos de la regulación de los horarios comerciales a los que se refiere el impugnado art. 27. No obstante, dicha argumentación, aun siendo sucinta, resulta, sin duda, expresiva de la reivindicación planteada y no puede ser calificada de insuficiente, pues se indican tanto las razones de la vulneración competencial que se denuncia (la insuficiencia del título competencial estatal y la minuciosidad de las normas impugnadas que dejarían sin contenido las competencias autonómicas) como el precepto estatutario atributivo de las competencias autonómicas que se entienden vulneradas.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examinar la incidencia que sobre el objeto de este proceso constitucional tengan tanto las modificaciones sobrevenidas de los preceptos impugnados como decisiones anteriores de este Tribunal, en concreto la STC 136/2015, de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los apartados 4 y 5 del art. 5 de la Ley 1/2004, de 21 de diciembre, de horarios comerciales, a los que se refiere el art. 27 del Real Decreto-ley 20/2012 han sido posteriormente modificados, primero, por el art. 7.1 y 2, del Real Decreto-ley 8/2014, de 4 de julio, de aprobación de medidas urgentes para el crecimiento, la competitividad y la eficiencia y, finalmente, por el art. 7.1 y 2, de la Ley 18/2014, de 15 de octubre, de la misma denominación, que, respectivamente, añadieron dos nuevos párrafos al apartado 4 del art. 5 de la Ley de horarios comerciales; y el segundo, modificó el texto del apartado 5 de ese mismo art. 5 de la Ley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modificaciones no afectan, sin embargo, al objeto del presente proceso constitucional por cuanto las normas posteriores vienen a plantear, en esencia, los mismos problemas competenciales que la norma impugnada. Resulta entonces de aplicación nuestra doctrina respecto a los procesos promovidos por causa de vulneración del orden constitucional de distribución de competencias en la que hemos insistido, como excepción a la regla general sobre la carencia de sentido que tiene para el Tribunal pronunciarse en un recurso de inconstitucionalidad sobre normas que el legislador ha expulsado del ordenamiento mediante su derogación, en que “la función de preservar los ámbitos respectivos de competencias no puede quedar enervada por la sola derogación o modificación de las disposiciones cuya adopción dio lugar al litigio (SSTC 182/1988, FJ 1; 248/1988, FJ 2; y 167/1993, FJ 2; 329/1993, FJ 1; 165/1994, FJ 2; y 196/1993, FJ 2)” [STC 134/2011, de 20 de julio, FJ 2 b)].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y STC 147/1998, fundamento jurídico 5)” [STC 134/2011, FJ 2.b)].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STC 136/2015 ha declarado la inconstitucionalidad y nulidad del art. 38 y de la disposición adicional decimoquinta del Real Decreto-ley 20/2012 por vulneración del art. 86.1 CE. De acuerdo con ello y conforme a nuestra doctrina (al respecto, STC 259/2007, de 19 de diciembre, FJ 2, y las allí citadas) ha desaparecido sobrevenidamente el objeto de este proceso constitucional en relación con el art. 38 del Real Decreto-ley 20/2012, quedando circunscrito al art. 27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art. 27 del Real Decreto-Ley 20/2012 se le reprocha la vulneración de las competencias autonómicas en materia de comercio interior, vulneración que es negada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viene a modificar determinados preceptos de la Ley de horarios comerciales. Así, el apartado uno modifica el art. 3.1 de la Ley de horarios comerciales, estableciendo que el horario global en el cual los comercios podrán desarrollar su actividad en días laborables no podrá ser restringido por las Comunidades Autónomas a menos de 90 horas. El apartado dos reforma el art. 4 de la Ley de horarios comerciales, relativo a la apertura de los comercios en domingos y festivos, los cuales se fijan en un mínimo de dieciséis, número que podrá ser incrementado y disminuido por las Comunidades Autónomas pero no por debajo de diez, teniendo en cuenta para determinar los festivos de apertura los criterios prioritarios formulados al efecto por el apartado 5 de este art. 4. Finalmente, el apartado tres da una nueva redacción al art. 5 de la Ley de horarios comerciales, fijando la regla de la plena libertad de horario para los denominados “establecimientos con régimen especial de horarios”, entre los cuales se encuentran los ubicados en las “zonas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art. 27 se afirma dictado al amparo del art. 149.1.13 CE, según establece la disposición final cuarta del propio Real Decreto-ley 20/2012. Fundamento competencial que es negado por la Asamblea de Extremadura argumentando, en primer lugar, que la modificación de la normativa en materia de horarios comerciales no tendría una incidencia directa y significativa en la actividad económica general y, en segundo lugar, que su grado de detalle excluye la intervención autonómica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impugnación hemos de partir de la doctrina de las SSTC 156/2015, de 9 de julio, FFJJ 9 y 10, y 18/2016, de 4 de febrero, FJ 9. En ambas ya establecimos que el Estado al dictar las reglas impugnadas contenidas en el art. 27 del Real Decreto-ley 20/2012, con el carácter de norma básica ex art. 149.1.13 CE, se ha atenido a un ejercicio adecuado de sus competencias, sin incurrir en un exceso competencial vulnerador de las competencias autonómicas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argumentos expuestos en la demanda puede modificar la anterior conclusión, pues, además, se formulan de modo genérico, de modo que nuestra contestación tampoco ha de ser exhaustiva (en el mismo sentido, STC 197/2015, de 24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 alega la falta de cobertura de la regulación estatal de horarios comerciales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puede ser estimada, ya que, como hemos advertido, la intervención estatal en la regulación de los horarios comerciales ya ha sido reconocida por nuestra doctrina por su carácter “particularmente relevante en la ordenación de la actividad comercial minorista, rama o sector de la economía nacional respecto a la cual el Estado puede, conforme a nuestra doctrina, establecer medidas básicas en cuanto lo requiera la adecuada ordenación de la actividad económica” (STC 88/2010, de 15 de noviembre, FJ 5, reiterado en STC 26/2012, de 1 de marzo, FJ 7). Tampoco, frente a lo argumentado en la demanda, nos corresponde formular juicios acerca de si la norma es susceptible o no de conseguir los objetivos de política económica perseguidos, sino exclusivamente determinar si los preceptos sometidos a nuestro enjuiciamiento encuentra amparo en el art. 149.1.13 CE en los términos exigidos por la doctrina de este Tribunal [STC 18/2016,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vertiente de la queja es la imposibilidad de desarrollo de las normas estatales, con el consiguiente vaciamiento de la competencia autonómica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tampoco puede ser acogida pues, para la consecución de los objetivos básicos que persigue, la norma estatal únicamente pretende establecer un régimen dentro del cual cabe legítimamente la opción de la regulación autonómica. Dicha regulación se desprende del propio precepto impugnado, que debe ser completado por la normativa de las Comunidades Autónomas en varios de sus aspectos (horario global de los comercios; fijación del número y determinación de los domingos y festivos de apertura autorizada o delimitación de zonas de gran afluencia turística, entre otros). De esta manera no se agotan las posibilidades de que el legislador autonómico con competencia para ello pueda llevar a cabo desarrollos normativos de la norma básica [STC 156/2015, FJ 10, específicamente respecto a la apertura de comercios en domingos y festivos y a las zonas de gran afluencia turística, reiterado en STC 18/2016,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este mismo sentido, cabe recordar que la doctrina de este Tribunal sobre el límite de la legislación básica no puede proyectarse únicamente sobre un aspecto parcial de la competencia autonómica, como serían los horarios comerciales, en relación con la entera materia objeto de esa competencia autonómica. Es claro que las competencias autonómicas, en particular la de comercio interior, que se relacionan con las previsiones estatales en materia de horarios que hemos considerado básicas, se ven afectadas en su extensión, pero la afectación se produce de tal modo que no impide, en lo restante, el pleno desenvolvimiento de la competencia autonómica en materia de comercio interior cuya vulneración se ha denunciado en este proceso. Esta última posee un ámbito mucho más extenso, mientras que la norma del Estado sólo afecta a una materia o subsector específico dentro de ese ámbito, el relativo al régimen de horarios comerciales. Así, no cabe estimar producido un vaciamiento de aquella competencia, aunque se haya reducido en una concreta materia o subsector específicos [STC 284/1993, de 30 de septiembre, FJ 4 c), citando la STC 225/1993, de 8 de julio, FJ 4 b), y STC 170/2012, de 4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extinción del recurso por desaparición sobrevenida de su objeto respecto del art. 38 del Real Decreto-ley 20/2012, de 13 de julio, de medidas para garantizar la estabilidad presupuestaria y de fomento de la competitividad.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