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diciembre de 2014 tuvo entrada en el Registro General de este Tribunal un escrito de la Sección Segunda de la Sala de lo Contencioso-Administrativo del Tribunal Superior de Justicia de Castilla-La Mancha al que se acompaña, junto al testimonio del procedimiento ordinario núm. 119-2011, el Auto de 4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persona física, propietaria de varias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señalada la fecha para votación y fallo del proceso el 13 de octubre de 2014, la Sección Segunda de la Sala de lo Contencioso-Administrativo del Tribunal Superior de Justicia de Castilla-La Mancha dictó providencia de la misma fecha,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a la vista de la STC 141/2014, de 11 de septiembre.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CE en cuanto se permite al resto de los propietarios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4 de noviembre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referirse a los antecedentes de hecho del caso y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proyecto de singular interés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de autos”,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23 del Real Decreto Legislativo 2/2008, 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proyecto de singular interés que motiva la expropiación; y que el propio proyecto de singular interés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proyecto de singular interés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proyecto de singular interés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artículo 23 con el artículo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artículo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Segunda del Tribunal Constitucional acordó oír al Fiscal General del Estado para que, en el plazo de diez días, y a los efectos que determina el art. 37.1 LOTC, alegase lo que considerase conveniente “en relación con la pérdida sobrevenida de objeto de la cuestión de inconstitucionalidad respecto del art. 25.2 a) del Real Decreto Legislativo 2/2008 y de su carácter notoriamente infundado (por efecto de lo resuelto en la STC 218/2015, de 22 de octubre) respecto a los otros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29 de enero de 2016, en el que, tras exponer que la presente cuestión supera los juicios de aplicabilidad y de relevancia ex art. 35.2 LOTC, desarrolla dos alegaciones distintas, partiendo en gran medida de las SSTC 141/2014 y 218/2015, que a su juicio ya han resuelto las cuestiones que en este proceso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afirma que la presente cuestión de inconstitucionalidad debe ser resuelta siguiendo la dicción de los autos de 19 de enero de 2015, dictados en las cuestiones de inconstitucionalidad 6246, 7766, 7476, 7560, entre otros. Así, tal como se ha resuelto en los referidos autos, la declaración de inconstitucionalidad y nulidad del art. 25.2 a) del Real Decreto Legislativo 2/2008 por la STC 218/2015 supone la pérdida sobrevenida de objeto procesal en cuanto a este extremo, alegación que extiende al art. 23.1 a) del Real Decreto Legislativo 2/2008 en la medida que la STC 141/2014 declaró inconstitucional el inciso “hasta el máximo del doble”.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alega sucesivamente (a) la pérdida sobrevenida del objeto de la cuestión en cuanto 25.2 a) del Real Decreto Legislativo 2/2008 porque así ha se ha pronunciado el Tribunal en un supuesto idéntico en los AATC de 19 de enero de 2015 (cuestiones núm. 6246-2014, 7766-2014, 7476-2014, 7560-2014…), criterio que extiende al art. 23.1 a) del Real Decreto Legislativo 2/2008 en la medida que la STC 141/2014 declaró inconstitucional y nulo el inciso “hasta el máximo del doble”; y (b)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ésta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