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diciembre de 2015, el Juzgado de lo Contencioso-Administrativo núm. 1 de Santander remitió testimonio del Auto de 24 de noviembre de 2015 por el que se acordó plantear cuestión de inconstitucionalidad respecto al art. 65 bis.1, inciso “o judiciales”, en relación con los efectos previstos en los apartados 2 y 3, de la Ley 2/2001, de 25 de junio, de ordenación territorial y del régimen urbanístico del suelo de Cantabria, añadido por el art. 1 de la Ley 4/2013, de 20 de junio. Se considera que el inciso del precepto legal impugnado es contrario a los arts. 24.2, 117.3 y 149.1.6 CE. Junto a esta resolución se acompaña copia testimoniada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Sala de lo Contencioso-Administrativo del Tribunal Superior de Justicia de Cantabria dictó sentencia estimando el recurso de apelación interpuesto contra la Sentencia del Juzgado de lo Contencioso-Administrativo núm. 1 de Santander y declarando la nulidad de la licencia de obras otorgada por el Ayuntamiento de Alfoz de Lloredo, ordenando la demolición del hotel ilegalmente edificado.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los recurrentes, se ordenó la misma, planteándose incidentes de inejecución y causas de oposición, adoptándose medidas coercitivas de imposición del fallo, sin que hasta la fecha se haya dado cumplimiento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solicitó al órgano judicial que acordase la suspensión de la ejecución de la Sentencia y el mantenimiento de la instalación, que debía ser demolida, en ejecución de la referida Sentencia por encontrarse en situación de fuera de ordenación y ello mientras estuviera vigente la autorización provisional. El ayuntamiento adujo que la edificación que en ejecución de Sentencia debía ser demolida, había sido provisionalmente autorizada en virtud de lo dispuesto en el art. 65 bis de la Ley de ordenación territorial y del régimen urbanístico del suelo de Cantabria, que establece que en el caso de que se esté modificando el planeamiento, las edificaciones o actuaciones que hubieran sido previamente declaradas ilegales y sobre las que hubiera recaído una orden de demolición pero que pudieran resultar conformes con la nueva ordenación, podrán ser autorizadas provisionalmente, lo que conlleva que durante este tiempo les resulte aplicable el régimen previsto para los edificios fuera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14 de octubre de 2015, el Juzgado de lo Contencioso-Administrativo núm. 1 de Santander acordó oír a las partes y al Ministerio Fiscal por el término común de diez días sobre la pertinencia de plantear cuestión de inconstitucionalidad sobre la Ley 4/2013, de 20 de junio, “por si pudiera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pudiera afectar al derecho a la tutela judicial efectiva del art. 24 CE y a la competencia exclusiva de jueces y tribunales para ejecutar lo juzgado, conforme al art. 117.1 CE.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Evacuado el referido trámite de alegaciones, el Fiscal no se opuso al planteamiento de la cuestión; los recurrentes la estimaron procedente y el ayuntamiento consideró que no procedía plantearla.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órgano judicial dictó Auto de 24 de noviembre de 2015, planteando cuestión de inconstitucionalidad respecto al art. 65 bis. 1, inciso “o judiciales”, en relación con los efectos previstos en el apartado 2 y 3, de la Ley 2/2001, de 25 de junio, de ordenación territorial y del régimen urbanístico del suelo de Cantabria, añadido por el art. 1 de la Ley 4/2013,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sobre esta norma se han planteado diversas cuestiones de inconstitucionalidad por la Sala de lo Contencioso-Administrativo del Tribunal Superior de Justicia y por el Juzgado de lo Contencioso-Administrativo núm. 1 de Santander, cuyos fundamentos expone y acoge por entenderlos plenamente aplicables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la solicitud de inejecución que debe resolverse se apoya en el art. 65 bis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que atribuye al Estado la competencia exclusiva en materia de legislación procesal, sin perjuicio de las peculiaridades del derecho sustantivo de las Comunidades Autónomas, normativa estatal que, conforme a su artículo 105.1, no permite suspensión alguna en la ejecución de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la ejecución de las sentencia forma parte derecho a la tutela judicial efectiva en su vertiente de derecho a la ejecución (art. 24.1 CE), correspondiendo el ejercicio de esta potestad jurisdiccional en exclusiva a los Juzgados y Tribunales (art. 117.3 CE), siendo obligatorio cumplir las resoluciones firmes y prestar la colaboración requerida por los Jueces y Tribunales (art. 118 CE). Entiende que la efectividad de la Ley autonómica incide en la ejecución procesal, al introducir una causa de suspensión no prevista en la Ley estatal para la que carecen de competencias tanto el Gobierno Autonómico, como 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los arts. 117.3 CE y 105.1 de la Ley 29/1998. Descarta que pueda oponerse que la causa de la inejecución sea el acto administrativo, pues este se ampara en la norma cuestionada, dejando sine díe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ello supone dejar en manos del ejecutado la ejecución de sentencias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por último, que la resolución del incidente depende de la validez de la norma legal, al permitir dejar en situación provisional, inmuebles con sentencia firme de derribo, sine die, paralizando la ejecución judicial y evitando la demolición ordenada.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 1, de la Ley 2/2001, de 25 de junio, de ordenación territorial y régimen urbanístico modificada por la Ley 4/2013, en la parte que se refiere a las órdenes de demoliciones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2016, el Pleno, a propuesta de la Sección Primera,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19 de febrero de 2016, la Fiscal General del Estado comparece e interesa que se dicte resolución por la que se declara la extinción de esta cuestión de inconstitucionalidad, por desaparición sobrevenida de su objeto. Alega al respecto,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resolutoria de la cuestión de inconstitucionalidad núm. 6860-2014, ha declarado inconstitucional y nulo el precepto cuestionado, en cuanto se refiere a los procesos de ejecución de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1 de Santander en relación con el art. 65 bis.1 de la Ley del Parlamento de Cantabria 2/2001, de 25 de junio, de ordenación territorial y de régimen urbanístico del suelo de Cantabria, introducido por la Ley 4/2013, de 20 de junio, en la parte del mismo que se refiere a las órdenes judiciales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en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estimatoria de la cuestión de inconstitucionalidad núm. 6860-2014,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el referido inciso ha sido expulsado del ordenamiento, con apoyo en lo previsto en el art. 37.1 de la Ley Orgánica del Tribunal Constitucional, procede acordar la inadmisión de esta cuestión de inconstitucionalidad, porque la expresada circunstancia determina la pérdida sobrevenida de su objeto (AATC 277/2000, de 28 de noviembre; 203/2014, de 22 de julio, y 230/2014, de 23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7018-2015.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