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11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4 de noviembre de 2015, la Procuradora de los Tribunales doña Olga Romojaro Casado, en nombre y representación de don Manuel Tena Gallench, interpuso demanda de amparo contra el Auto de fecha 24 de marzo de 2015, dictado por el Juzgado de Instrucción núm. 20 de Madrid, declarando no haber lugar a la solicitud de nulidad de actuaciones promovida contra el Auto de 14 de octubre de 2014, dictado por el mismo órgano judicial en las diligencias indeterminadas núm. 590-2014 desestimando la impugnación efectuada contra la resolución de 7 de enero de 2014 de la Comisión de Asistencia Jurídica Gratuita de la Comunidad de Madrid, recaída en el expediente núm. 0-0222453-2013.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 en la vulneración del derecho a la tutela judicial efectiva (art. 24.1 CE), en su manifestación de derecho de acceso al proceso. Según el recurrente, las resoluciones impugnadas, al desestimar su petición de asistencia jurídica gratuita en atención al elevado número de solicitudes formuladas por el actor en otros procedimientos distintos, vulneran dicho derecho fundamental al suponer una denegación del derecho a la asistencia jurídica gratuita que no se funda en el incumplimiento de requisitos económicos. Para el actor “denegar a un solicitante de justicia gratuita este beneficio cuando cumple con los requisitos económicos para su concesión supone una vulneración de su derecho a la tutela judicial efectiva, en este caso, además, en una de sus vertientes más sensibles, como es la de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digo”, el actor interesó asimismo en su demanda de amparo que se acordase “la medida cautelar de concesión provisional del derecho a la asistencia jurídica gratuita, dado que la solicitud formulada lo fue para la interposición de una querella y ya han transcurrido más de dos años y tres meses desde que se formuló la solicitud. Con la concesión provisional que se interesa se persigue evitar la prescripción del delito y, por tanto,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la Sala Segunda de este Tribunal, por providencia de 1 de marzo de 2016 acordó la admisión a trámite de la demanda de amparo y la formación de pieza separada para la tramitación “de la medida cautelar de concesión provisional del derecho a la asistencia jurídica gratuita para la interposición de una querella”. En providencia de la misma fecha se formó la aludida pieza y se dio al recurrente y al Ministerio Fiscal un plazo común de tres días para que alegasen lo que estimasen pertinente sobre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9 de marzo de 2016 el recurrente presentó en el Registro General de este Tribunal su escrito de alegaciones, en el que señala que la querella que pretende presentar versa sobre la posible comisión por parte de diversos funcionarios policiales de un delito del art. 542 del Código penal, infracción que, según afirma, tiene legalmente asignado un plazo de prescripción de cinco años. Habiendo ya transcurrido cuatro años desde la fecha que el actor considera que debe servir de dies a quo de dicho plazo “y dado el tiempo que puede transcurrir en el proceso de amparo”, el recurrente estima que “el recurso podría perder su finalidad de no adoptarse la medida cautelar de concesión provisional del derecho a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10 de marzo de 2016, el Ministerio Fiscal presentó sus alegaciones, oponiéndose a la adopción de la medida cautelar solicitada. El Ministerio Fiscal argumenta que el actor no ha cumplido con la carga que le incumbe de acreditar la existencia de un perjuicio irreparable que sólo pueda evitarse a través de la medida cautelar interesada. Según señala, la interposición de querella “no es un requisito imprescindible para la incoación de causas criminales y para la consiguiente interrupción de la prescripción delictiva”. De otro lado, según resulta de la propia doctrina del Tribunal Constitucional, la mera interposición de la querella tampoco interrumpe por sí misma dicho plazo de prescripción. Finalmente, la Fiscal ante el Tribunal Constitucional afirma que el demandante no ha justificado en modo alguno el plazo de prescripción del delito, que es variable según la penalidad señalada a la infracción cometida.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facultad del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 (ATC 50/2015, de 2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de la Ley Orgánica del Tribunal Constitucional: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el actor solicita que se acuerde la concesión provisional del beneficio de justicia gratuita —cuya denegación constituye el objeto específico de este recurso— a efectos de que pueda presentar ante el órgano judicial la correspondiente querella criminal, interrumpiendo así el plazo de prescripción del delito, que, según señala el recurrente, habría de expirar con toda probabilidad durante la tramitación del presente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invocación del aludido peligro de prescripción es, por sí misma, insuficiente para acreditar la necesidad de que este Tribunal adopte la medida cautelar que se interesa. Salvo en el caso de los llamados delitos “privados” —injurias y calumnias cometidos contra particulares—, los órganos judiciales del orden penal pueden incoar cualquier proceso por delito sin necesidad de que medie una querella de la persona que pueda considerarse ofendida o perjudicada. Basta a estos efectos con la comunicación a dichos órganos de la llamada notitia criminis. Para ello, cualquier particular puede presentar ante el órgano judicial la correspondiente denuncia, como acto de comunicación de la notitia criminis que, de resultar mínimamente verosímil, puede dar lugar a la incoación del proceso penal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denuncia, la querella no tiene más finalidad adicional que la de consignar, junto a esa declaración de conocimiento relativa a la existencia de un delito, la declaración de voluntad de quien se considera ofendido o perjudicado por el mismo —o, en su caso, del ciudadano que pretende actuar como acusador popular— de constituirse en parte acusadora. No es, por tanto, la incoación misma del proceso penal —y la eventual interrupción de la prescripción— la que está en juego en caso de denegación del beneficio de justicia gratuita a quien pretende presentar una querella —pues tal efecto puede alcanzarse igualmente por otros medios—. Lo que el recurrente solicita es otra cosa: la mera posibilidad de intervenir como acusador, ya que resulta imprescindible, a estos concretos efectos, la asistencia de abogado y procurador. De otro lado, como bien afirma el Ministerio Fiscal, la mera presentación de una querella no es, por sí misma, suficiente para producir el efecto interruptivo de la prescripción de un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recurrente no ha justificado en modo alguno por qué motivo su intervención activa como parte acusadora es imprescindible para interrumpir el plazo de prescripción del delito, pues basta, según queda dicho, con la presentación de una denuncia para que el órgano judicial tenga la obligación de incoar un procedimiento penal para investigarlo en caso de que la notitia criminis resulte mínimamente verosímil.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no puede accederse a la medida cautelar solicitada puesto que lo que se alega es un perjuicio futuro o hipotético, en base a una mera previsión sobre la duración del presente proceso constitucional de amparo, que carece, además, según se ha expuesto, de una relación directa con la medida cautelar que el recurrente pretende obtener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efectuada por el actor ha de ser, por tanto, denegada.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