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9 de mayo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3488-2013,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7 de junio de 2013 tuvo entrada en el Registro General del Tribunal Constitucional un oficio de la Sala de lo Social de la Audiencia Nacional, de 6 de junio de 2013, al que se acompañaba, junto al testimonio del correspondiente procedimiento, el Auto de 14 de mayo de 2013 por el que se acuerda plantear cuestión de inconstitucionalidad en relación con el art. 2 del Real Decreto-ley 20/2012, de 13 de julio, de medidas para garantizar la estabilidad presupuestaria y de fomento de la competitividad, por posible vulneración del principio de irretroactividad del art. 9.3 CE, en su aplicación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Resumidamente, los antecedentes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empresa Chronoexpress, S.A., es una sociedad mercantil estatal perteneciente al grupo Correos, participada al 100 por 100 por la Sociedad Estatal de Participaciones Industriales (SEPI) y con centros de trabajo en todo el territorio nacional. Chronoexpress rige sus relaciones laborales por los convenios colectivos provinciales de transporte de mercancías, si bien en algunos centros de trabajo se convino que las pagas extraordinarias se devengarían semestralmente con arreglo a lo previsto en el convenio colectivo de empresas de mensajería.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organizaciones sindicales federación estatal de transportes, Comunicaciones y mar de la Unión General de Trabajadores (TCM-UGT) y federación de servicios a la ciudadanía de Comisiones Obreras formularon demandas de conflicto colectivo contra la empresa Chronoexpress, S.A., y otros, que dieron lugar a los autos núms. 44-2013 y 115-2013 (acumulados), seguidos ante la Sala de lo Social de la Audiencia Nacional, por la supresión de la paga extraordinaria del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acto del juicio, celebrado el día 4 de abril de 2013, los demandantes sostuvieron que, a pesar de lo dispuesto en el art. 2 del Real Decreto-ley 20/2012, en la citada empresa no procedía descontar o detraer de la paga extraordinaria la parte proporcional de la misma ya devengada en el momento de la entrada en vigor de la norma (15 de julio de 2012) por cuanto, de acuerdo con el art. 9.3 CE, no cabía que la supresión operara de modo retroactivo sino solo a partir del 15 de julio, teniendo en cuenta la doctrina jurisprudencial según la cual las pagas extras se devengan día a día y son salario diferido.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por providencia de 4 de abril de 2013 la Sala acordó oír a las partes y al Ministerio Fiscal para que alegasen sobre la pertinencia de plantear cuestión de inconstitucionalidad en relación con el art. 2 del citado Real Decreto-ley 20/2012, por posible vulneración del principio de irretroactividad de las disposiciones restrictivas de derechos individuales (art. 9.3 CE), en la medida en que suprime el derecho de los trabajadores a percibir cuantías de la paga extraordinaria del mes de diciembre de 2012 ya devengadas a la fecha de entrada en vigor de dicho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Evacuado dicho trámite, por Auto de 14 de mayo de 2013 la Sala de lo Social de la Audiencia Nacional acordó la elevación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de constitucionalidad, basada en la vulneración del principio de irretroactividad de las disposiciones sancionadoras no favorables o restrictivas de derechos individuales que garantiza el art. 9.3 CE, se fundamenta en el Auto de planteamiento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 del Real Decreto-ley 20/2012 suprime la percepción de la paga extraordinaria del mes de diciembre del año 2012 para el personal laboral del sector público, a partir de su entrada en vigor (15 de julio de 2012), sin precisar excepciones por derechos ya devengados. El apartado 1 del precepto indica que la medida afecta a las cuantías “que corresponda percibir”, en tiempo verbal no condicional, admitiendo que el derecho ya se ha generado, no obstante lo cual cierra la puerta 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Conforme a la doctrina constitucional relativa al principio de irretroactividad recogido en el art. 9.3 CE (STC 89/2009, de 20 de abril), los derechos retributivos del personal del sector público pertenecen a la esfera general de protección de la persona consagrados en el art. 35.1 CE. Partiendo de este enfoque, el Tribunal Constitucional ha venido admitiendo con naturalidad su encaje en el supuesto de hecho del art. 9.3 CE, incluso ante normas que, como la cuestionada, se inspiran en la finalidad de la contención del gasto público mediante la reducción retributiva (STC 330/2005, de 15 de diciembre, y ATC 162/2012,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 se ha de tener en cuenta la jurisprudencia de la Sala de lo Social del Tribunal Supremo en unificación de doctrina que se cita, que configura la paga extraordinaria como de devengo diario y de cobro aplazado. Dado que la regulación legal de las pagas extraordinarias se limita a fijar el momento de su percepción, la configuración normativa del derecho a las pagas extraordinarias se ve complementada por su configuración de esta jurisprudencia,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así ante un derecho que se genera día a día, incorporándose como tal al acervo patrimonial de los trabajadores, y cuya supresión opera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referencia a la STC 197/1992, de 19 de noviembre, y a algunos pronunciamientos del Tribunal Europeo de Derechos Humanos, se alega que la crisis económica podría acaso justificar determinadas medidas restrictivas de derechos individuales como la cuestionada, pero no puede abrir la puerta, sin más, a que esas restricciones operen de modo retroactivo. La excepción a la irretroactividad recogida en la doctrina constitucional debe interpretarse de forma restrictiva, sin que pueda extenderse a toda medida de interés general. La reducción del déficit público puede justificar muchas medidas, pero no reúne la nota de cualificación absolutamente excepcional que sería necesaria para sacrificar el principio constitucional de seguridad jurídica que sustenta la irretroactividad. Es el interés general lo que se ataca cuando se niega a quienes han prestado sus servicios al sector público el derecho a percibir el salario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descarta la posibilidad de que estemos ante una expropiación legislativa de derechos, en tanto que la previsión en este caso de una hipotética compensación o devolución futura de cantidades en modo alguno resultaría asimilable al justo precio al que alude la Ley de expropiación forzosa. Por su carácter meramente hipotético y condicionado,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septiembre de 2013, el Pleno, a propuesta de la Sección Cuarta, acordó admitir a trámite la cuestión de inconstitucionalidad; deferir su conocimiento a la Sala Segunda, a la que por turno objetivo le ha correspondido, conforme al art. 10.1 c) de la Ley Orgánica del Tribunal Constitucional (LOTC); dar traslado de la demanda y documentos presentados al Congreso de los Diputados, al Senado, al Gobierno y al Fiscal General del Estado, para que en el plazo de 15 días pudieran personarse en el procedimiento y formular las alegaciones que estimasen convenientes, de acuerdo con el art. 37.3 LOTC; comunicar esta resolución a la Sala de lo Social de la Audiencia Nacional a fin de que, de conformidad con el art. 35.3 LOTC, permaneciese suspendido el proceso hasta la resolución de la presente cuestión y publicar su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23 de septiembre de 2013, el Abogado del Estado se personó en el presente proceso constitucional, instando la desestimación de la cuestión en atención a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el Auto de planteamiento cuestiona la totalidad del art. 2 del Real Decreto-ley 20/2012, se refiere solo a su apartado 2.2, es decir, a la aplicación de la supresión de la paga extraordinaria de diciembre al personal laboral del sector público. Además, no se cuestiona genéricamente la referida supresión, sino que tan solo se reprocha al legislador el que no haya incluido una disposición transitoria por la cual se hubiera exceptuado de la mencionada supresión la parte proporcional que se entiende devengada del 1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y el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precepto cuestionado no constituye una “disposición sancionadora no favorable o restrictiva de derechos individuales” en el sentido del art. 9.3 CE, según la interpretación del Tribunal (SSTC 90/2009, de 20 de abril, FJ 4;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(SSTC 227/1988, de 29 de noviembre, FJ 7, y 112/2006, de 5 de abril, FJ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Auto de planteamiento reconoce que la regulación legal de las pagas extraordinarias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Al contrario, es la jurisprudencia la que tiene que adaptarse a lo que disponga el legislador. El precepto cuestionado ha entendido, precisamente, que las gratificaciones extraordinarias se devengan en el momento del pago, concepción perfectamente conforme con los arts. 26 y 31 de la Ley del estatuto de los trabajadores, así como con la doctrina constitucional relativa a los tributos de hecho imponible duradero (STC 176/2011, de 8 de noviembre, FJ 5). Trasladada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propia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Aún en el caso de que se considerase que la norma establece una retroactividad de grado máximo, se justifica por la concurrencia de exigencias de interés público, conectadas con la situación de auténtica excepción fiscal que vivía España en el momento de aprobación del Real Decreto-ley 20/2012. De conformidad con la jurisprudencia constitucional [SSTC 182/1997, de 28 de octubre, FJ 13 A), y 176/2011, FJ 5], que a su vez cita la del Tribunal de Justicia de la Unión Europa (Sentencia de 26 de abril de 2005, C-376/02), pueden reputarse conforme a la Constitución modificaciones con cualquier grado de retroactividad cuando existan claras exigencias de interés general. Aplicando tal doctrina al presente caso, la medida cuestionada encontraría su justificación en un interés público relevante, como lo es el de la necesidad de realizar fuertes ajustes presupuestarios en el marco de una crisis económica sin precedentes, siendo la reducción de las retribuciones una medida extraordinaria de “contención de gastos de personal” que tiene por finalidad “contribuir a la consecución del inexcusable objetivo de estabilidad presupuestaria derivado del marco constitucional y de la Unión Europea”, como se señala en el preámbulo del Real Decreto-ley 20/2012 y en el debate de convalidación de la norma, así como en los sucesivos informes anuales del Banco de España de 2008, 2009, 2010 y 2011.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sin olvidar que la estabilidad presupuestaria es actualmente un principio constitucional que vincula a todos los poderes públicos. El Tribunal no se ha mostrado ajeno a la gravedad de la crisis económica que atraviesa la zona euro, habiéndose hecho eco de la profunda crisis presupuestaria en los AATC 95/2011, de 21 de junio, FJ 5; 96/2011, de 21 de junio, FJ 5; 160/2011, de 22 de noviembre, FJ 3, y 147/2012, de 16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señalado que basta con la concurrencia de cualificadas exigencias del bien común o de interés general para admitir modificaciones con cualquier grado de retroactividad (por ejemplo, para evitar operaciones de elusión fiscal). Así las cosas, no existe razón para negar la concurrencia de un interés general dada la situación descrita de grave crisis económica (al borde, incluso, del rescate financiero de España cuando se adoptó la medida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Sentencias del Tribunal Europeo de Derechos Humanos citadas por el Auto de planteamiento no pueden servir para avalar la tesis mantenida en el mismo, ya que, a diferencia de lo que ocurre en el presente caso, se alegaron intereses difusos que no justificaban la aplicación retroactiva desde la perspectiva de la proporcionalidad. Por el contrario, en el presente caso no existen motivos “difusos”, sino concretos de interés general. En realidad no asistimos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ante el interés público que se trata de atender, resulta absolutamente proporcionado que únicamente se exija como sacrificio a los empleados públicos el aplazamiento temporal del abono de la parte proporcional de la paga extraordinaria correspondiente a los días 1 a 15 de julio, que es lo único que se discute en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sendos escritos registrados los días 24 y 26 de septiembre de 2013, el Vicepresidente Primero del Senado y el Presidente del Congreso de los Diputados comunicaron los respectivos acuerdos de las Mesas de ambas Cámaras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15 de octubre de 2013, el Fiscal General del Estado evacuó el trámite de alegaciones, solicitando la declaración de inconstitucionalidad del precepto cuestionado en atención a los razonamientos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doctrina constitucional (SSTC 90/2009, de 20 de abril, y 100/2012, de 8 de mayo), el análisis de retroactividad de la norma debe tener una doble proyección, que sirva para determinar su grado de incidencia en los efectos de relaciones jurídicas anteriores, y también como elemento indicativo de lo que deban ser los derechos individuales. La supresión de un derecho previamente reconocido y cuyos efectos se habrían ya agotado vendría a comprometer la esfera general de protección de la persona, al afectar, al menos, al art. 33.3 CE, que prohíbe la privación de derechos si no es por causa de utilidad pública o interés social, y siempre que aquélla pueda ser compensada mediante la correspondiente indemnización. La condición para ello es que los derechos se hayan integrado plenamente en el patrimonio del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razona el Auto de planteamiento, los derechos retributivos de los trabajadores se enmarcarían dentro del derecho al trabajo y a la remuneración suficiente que prevé el art. 35.1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la doctrina constitucional (SSTC 6/1983, de 4 de febrero; 42/1986, de 10 de abril; 99/1987, de 11 de junio; 112/2006, de 5 de abril; 116/2009, de 18 de mayo, y 161/2009, de 29 de junio), resulta obvia la supresión por la norma cuestionada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lo devengado se incorpora cada jornada al patrimonio del trabajador, con independencia de que su efectiva percepción tenga lugar en el último mes del período (salario devengado pero de percepción diferida). De este modo, la privación de la cantidad correspondiente a dicho período supondría la restricción injustificada de un derecho individual, prohibida por el art. 9.3 CE. El criterio del Auto de planteamiento tendría el respaldo de la Sentencia del Tribunal Europeo de Derecho Humanos de 14 de mayo de 2013 (caso N.K.M. v. Hungría). En el caso ahora examinado, existía una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Tribunal Constitucional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En nuestro ordenamiento jurídico, el art. 33 CE impide la expropiación de bienes o derechos por causa de utilidad pública o interés social si no se acompaña de un justiprecio. Los compromisos meramente posibilistas contemplados en la exposición de motivos del Real Decreto-ley 20/2012, relativos a genéricas aportaciones a futuros fondos, carecen de la mínima concreción para que les alcance el calificativo de justo precio debido. Es más, aquellas intenciones parcialmente reparadoras no se refieren específicamente al período al que se concreta la cuestión de inconstitucionalidad,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hipotética estimación, tratándose de un supuesto de retroactividad máxima en relación con derechos ya integrados en el patrimonio de sus titulares, el efecto de la declaración de inconstitucionalidad habría de limitarse al período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mayo de 2016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 la Audiencia Nacional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precepto cuestionado,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pues la cuestión de inconstitucionalidad trae causa de un proceso de conflicto colectivo promovido por las organizaciones sindicales federación estatal de transportes, comunicaciones y mar de la Unión General de Trabajadores (TCM-UGT) y federación de servicios a la ciudadanía de Comisiones Obreras, que dieron lugar a los autos núms. 44-2013 y 115-2013 (acumulados), por la supresión de la paga extraordinaria del mes de diciembre de 2012 en la empresa Chronoexpress, sociedad mercantil estatal perteneciente al Grupo Correos, participada al 100 por 100 por la Sociedad Estatal de Participaciones Industriales (SEPI) y con centros de trabajo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los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se cuestiona por la Sala de lo Social de la Audiencia Nacional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así el alcance de nuestra decisión, debemos remitirnos a lo dicho recientemente en nuestra STC 83/2015, de 29 de abril, sobre la pérdida de objeto de una cuestión de inconstitucionalidad análoga a la aquí enjuiciada. 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contraviene el art. 9.3 CE la supresión del derecho de los trabajadores de la empresa Chronoexpress a percibir la parte proporcional de la paga extra de diciembre de 2012, en las cuantías que se entendieran ya devengadas al momento de la entrada en vigor del Real Decreto-ley 20/2012, y que pueden variar en función de los distintos convenios colectivos y acuerdos que rigen sus relaciones laborales, según quedó expuesto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el mismo criterio de la STC 83/2015, en este caso hemos de tener en cuenta la incidencia de las siguientes disposiciones y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y dispone, en su apartado 2, las reglas para el abono de dichas cantidades al personal del sector público estatal (entre el que se encuentran los trabajadores de la sociedad mercantil estatal Chronoexpress). Su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III de la citada resolución se recogen las instrucciones relativas al personal laboral al que no resulta de aplicación el III convenio único del personal laboral al servicio de la Administración General del Estado. Según el mismo, el cómputo de las cantidades correspondientes a los primeros 44 días (que equivalen al 24,04 por ciento de la cuantía total, según las reglas de cálculo recogidas en el apartado II.1), se efectuará con arreglo a las normas laborales y convencionales vigentes en el momento en que se dejaron de percibir dichas pagas. Ésta será la regla aplicable a los trabajadores de Chronoexpress, toda vez que consta en el hecho tercero del Auto de planteamiento que la empresa rige sus relaciones laborales por los convenios provinciales de transporte de mercancías, si bien en una serie de centros de trabajo, que se enumeran, “se convino que las pagas extraordinarias se devengarían semestralmente con arreglo a lo previsto en el convenio colectivo de empresas de mensajería”.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 del Real Decreto-ley 10/2015, de 11 de septiembre, por el que se conceden créditos extraordinarios y suplementos de crédito en el presupuesto del Estado y se adoptan otras medidas en materia de empleo público y de estímulo a la economía, establece, en su apartado 1.1, que las distintas Administraciones públicas, así como sus entes dependientes y vinculados, abonarán dentro del ejercicio 2015, y por una sola vez, una retribución de carácter extraordinario cuyo importe será el equivalente a 48 días o al 26,23 por ciento de los importes dejados de percibir como consecuencia de la supresión de la paga extraordinaria correspondientes al mes de diciembre de 2012. Las reglas específicas para la recuperación de la paga extraordinaria y adicional del mes de diciembre de 2012 del personal del sector público estatal se fijan en el apartado 2. Su aplicación efectiva se llevó a cabo por resolución de 18 de septiembre de 2015, conjunta de las Secretarías de Estado de Presupuestos y Gastos y de Administraciones Públicas, por la que se dictan las correspondientes instrucciones, publicada en el “BOE” de 24 de septiembre de 2015. Su apartado III contiene las instrucciones relativas al personal laboral al que no resulta de aplicación el III convenio único del personal laboral al servicio de la Administración General del Estado, como es el caso de Chronoexpress.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disposición adicional duodécima de la Ley 48/2015, de 29 de octubre, de presupuestos generales del Estado para el año 2016, con la estructura de la precedente Ley 36/2014, establece, en su apartado 1, que cada Administración pública, en su ámbito, podrá aprobar dentro del ejercicio 2016 el abono de cantidades aún no recuperadas de los importes efectivamente dejados de percibir como consecuencia de la supresión de la paga extraordinaria de diciembre de 2012, por aplicación del Real Decreto-ley 20/2012; y dispone, en su apartado 2.2 a), las reglas para el abono de dichas cantidades al personal del sector público estatal, que “percibirá la parte proporcional correspondiente a 91 días de la paga extraordinaria y pagas adicionales o equivalentes del mes de diciembre de 2012 que fueron suprimidas”, utilizando para el cálculo de las cantidades correspondientes “las reglas de cómputo aplicables a cada tipo de personal de acuerdo con su régimen jurídico en vigor en el momento en que se produjo la supresión”.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 18 de abril de 2016, conjunta de las Secretarías de Estado de Presupuestos y Gastos y de Administraciones Públicas, publicada en el “BOE” de 21 de abril de 2016, se han dictado las instrucciones para su aplicación efectiva. Como en las anteriores resoluciones, citadas, el apartado III recoge las instrucciones relativas al personal laboral al que no le resulta de aplicación el III convenio único del personal laboral al servicio de la Administración General del Estado, aplicables a Chronoexpress. En las mismas se dispone que este personal percibirá la parte proporcional correspondiente a los 91 días de la paga extraordinaria (que equivalen al 49,73 por ciento de la cuantía total, según las reglas de cálculo recogidas en el apartado II.1), a computar con arreglo a las normas laborales y convencionales vigentes en el momento en que se dejaron de percibir dichas pagas. Se especifica además que de dichas cantidades “se descontarán las cuantías correspondientes a dichas pagas que hubieran sido abonadas en el año 2012 o con posterioridad, excepto las derivadas de la aplicación de la disposición adicional décimo segunda de la Ley 36/2014, de 26 de diciembre, de Presupuestos Generales del Estado para 2015 y del artículo 1 del Real Decreto-ley 10/2015, de 11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cualquiera que sea el período que, a la entrada en vigor del precepto cuestionado, se hubiera considerado devengado según la regla de cómputo a utilizar con arreglo a las normas laborales y convencionales aplicables al personal laboral afectado por el conflicto colectivo que dio origen a la presente cuestión de inconstitucionalidad, la aplicación sucesiva de las normas citadas ha supuesto la recuperación íntegra de la paga extraordinaria suprimida en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los términos en que ha sido planteada esta cuestión de inconstitucionalidad, es obligado concluir, como hicimos en la STC 83/2015, que la sucesiva recuperación por los trabajadores de Chronoexpress de las cantidades reconocidas en las normas citadas en el anterior fundamento jurídico, y hecha efectiva a través de las también citadas resoluciones,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