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abril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24 de septiembre de 2015 tiene entrada en el Registro General del Tribunal demanda interponiendo recurso de amparo contra sentencia núm. 200-2015 de 13 de julio de 2015 dictada por la Sección Tercera de la Audiencia Provincial de Castellón en recurso de apelación núm. 310-2015 interpuesto contra la Sentencia núm. 84/2015, de 23 de marzo de 2015, del Juzgado de Primera Instancia núm. 9 de Castellón dictada en el juicio verbal 26-2015.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fecha 6 de abril de 2016, presentado el día siguiente, el Procurador don Francisco José Abajo Abril, en nombre y representación de la parte recurrente Bankia, S.A., solicita se la tenga por desistida del presente recurso de amparo.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8 de abril de 2016 se dio traslado al Ministerio Fiscal a fin de que formulara alegaciones, lo que hizo por escrito presentado el 25 de abril de 2016 en el que manifiesta que es procedente acordar el desistimiento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prevista en los arts. 80 y 86 de nuestra Ley Orgánica (LOTC), que se remite en el primero de dichos preceptos, en cuanto a requisitos y procedimiento, a lo establecido en la Ley Orgánica del Poder Judicial y en la Ley de enjuiciamiento civil. Cumplidos estos requisitos en el presente caso, el Ministerio Fiscal no ha opuesto objeción alguna a la voluntad de desistir manifestada por el recurrente, sin que, por otro lado se aprecie perjuicio de parte ni daño para el interés general o público. Por tanto, y dado el carácter rogado que, en principio, tiene la jurisdicción de amparo constitucional [arts. 161.1 b) CE y 41.3 LOTC],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desistida del presente recurso de amparo a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abril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