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93</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29 de abril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11 de noviembre de 2015, el Procurador de los Tribunales don David García Riquelme, en nombre y representación de Estaser El Mareny, S.L., interpuso demanda de amparo contra la providencia de la Sala de lo Civil del Tribunal Supremo de 16 de septiembre de 2015, por la que se inadmite el incidente de nulidad de actuaciones interpuesto contra la Sentencia de 11 de mayo de 2011 dictada en el recurso de casación núm. 1453-2011, sobre cuya admisibilidad debe conocer la Sección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(artículo 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escritos de 25 de febrero de 2016 y de 5 de abril del mismo año los Magistrados don Juan Antonio Xiol Ríos y doña Encarnación Roca Trías comunicaron su voluntad de abstenerse en el conocimiento del presente recurso de amparo por entender que concurría la causa 11 del art. 219 de la Ley Orgánica del Poder Judicial, por haber formado parte, en su condición de Magistrados de la Sala de lo Civil del Tribunal Supremo, del órgano judicial que acordó la resolución impugnada en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Antonio Xiol Ríos y doña Encarnación Roca Trías en virtud de lo previsto en los arts. 80 de la Ley Orgánica del Tribunal Constitucional y 221.4 de la Ley Orgánica del Poder Judicial (LOPJ), se estima justificada la causa de abstención formulada, puesto que los mencionados Magistrados, en atención a haber formado parte del órgano judicial que dictó la providencia impugnada en amparo, están incursos en la causa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los Magistrados don Juan Antonio Xiol Ríos y doña Encarnación Roca Trías en el recurso de amparo núm. 6344-2015 y apartarlos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abril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