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25 de mayo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5020-2013 interpuesto por el Letrado del Servicio Jurídico del Principado de Asturias, en representación del Consejo de Gobierno de la Comunidad Autónoma, contra los apartados 8 (subapartado 3), 39 (subapartado 5), 40 (subapartado 3) y 41 del art. 1 de la Ley 2/2013, de 29 de mayo, de protección y uso sostenible del litoral y modificación de la Ley 22/1988, de 28 de julio, de costas por vulneración de la Constitución (art. 132) y del Estatuto de Autonomía del Principado de Asturias (art. 10.1.3). Ha comparecido y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septiembre de 2013, el Letrado del servicio jurídico del Principado de Asturias, en representación del Consejo de Gobierno de la Comunidad Autónoma, interpone recurso de inconstitucionalidad contra varios preceptos de la Ley 22/1988, de 28 de julio, de costas (en adelante, LC), en la redacción dada por la Ley 2/2013, de 29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impugna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13 bis, apartado 3, y la disposición transitoria cuarta, apartado 3, ambos de la Ley de costas, en la redacción dada por los apartados 8 y 40, respectivamente, del art. 1 de la Ley 2/2013. Vulnerarían la competencia autonómica en materia urbanística y de protección del medio ambiente. La previsión de un concreto título de intervención (la “declaración responsable”) formaría parte de la disciplina urbanística, que es un ámbito respecto del que el Principado de Asturias tiene atribuida la competencia exclusiva (art. 10.1.3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transitoria primera, apartado 5 LC, en la redacción dada por el art. 1.39 de la Ley 2/2013. Al excluir del dominio público terrenos naturalmente inundables, contradiría flagrantemente el contenido y el valor léxico mínimo de la zona marítimo-terrestre como espacio en el que entran en contacto mar y tierra (art. 132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décima LC, introducida por el art. 1.41 de la Ley 2/2013. Su apartado 4 vulneraría los principios de inalienabilidad e imprescriptibilidad (art. 132.1 CE) al introducir un derecho de uso a perpetuidad de los amarres, constituido sobre los canales navegables. No cabría incorporar un bien al dominio público para después entregarlo al tráfico jurídico-privado; quedaría con ello proscrito no solo el derecho dominical, sino todos los que amparen posesión.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8 de octubre de 2013, el Pleno del Tribunal Constitucional acordó admitir a trámite el presente recurso, dar traslado de la demanda y documentos presentados al Congreso de los Diputados, al Senado y al Gobierno, al objeto de que pudieran personarse en el proceso y formular alegaciones; igualmente, ordenó la publicación de la incoación del recurso en el “Boletín Oficial del Estado”, lo que tuvo lugar en el núm. 250, de 18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23 y 25 de octubre de 2013 tienen entrada en el Registro General de este Tribunal escritos de los Presidentes del Senado y del Congreso de los Diputados, respectivamente, comunicando los acuerdos de las Mesas correspondientes de personarse en el presente proceso ofreciendo su colaboración a los efectos del art. 88.1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18 de octubre de 2013,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octubre de 2013 el Pleno del Tribunal Constitucional acuerda tener por personado al Abogado del Estado y conceder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presenta el 18 de noviembre de 2013 en el Registro General de este Tribunal Constitucional su escrito de alegaciones. Solicita la desestimación del recurso por basarse en una concepción constitucionalmente autosuficiente del dominio público marítimo-terrestre mismo y de las partes de este que se enumeran en el art. 132.2 CE. En este sentido, considera que los términos de la reserva constitucional de ley contenida en el art. 132.2 CE llevan implícito cierto margen de libertad para que el legislador los determine razonablemente atendiendo a los fines y objetivos que lícitamente se proponga o a las necesidades sociales que hayan de satisfacerse.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13 bis, apartado 3, y la disposición transitoria cuarta, apartado 3 LC (en la redacción dada por los apartados 8 y 40, respectivamente, del art. 1 de la Ley 2/2013) impondrían limitaciones y condiciones con la finalidad de proteger el dominio público marítimo-terrestre. De su dicción literal resultaría palmario el respeto de la competencia urbanística autonómica; el legislador estatal no habría sustituido la autorización urbanística por la citada declaración responsable.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transitoria primera, apartado 5 LC (en la redacción dada por el art. 1.39 de la Ley 2/2013) produciría la exclusión aunque después de las obras e instalaciones artificiales los terrenos se inundasen naturalmente. Se trataría de aclarar que, tras la deliberada y autorizada actuación del hombre dirigida a inundar unos terrenos, una vez que esta inundación se produce, no cabe aplicar la regla de la penetración natural del agua para convertirlos en demaniales. Ello no afectaría al concepto natural o necesario de dominio público porque tanto la regla general [arts. 3.1 a) y 4.3] como la transitoria se refieren a terrenos que nunca lo fueron. En cualquier caso, una vez que se produzca la exclusión, estos bienes dejarán de ser de dominio público, no estarán en la zona marítimo-terrestre y deberán deslindarse adecuadamente; por consiguiente, no pueden considerarse enclaves privados dentro del dominio público, a la luz del art. 9.1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adicional décima LC, introducida por el art. 1.41 de la Ley 2/2013, habría concedido aquel derecho de uso de los amarres a los titulares de casas contiguas para garantizar el funcionamiento ordenado de las urbanizaciones marítimo-terrestres. El legislador habría realizado una ponderación de los intereses en juego garantizando un derecho de uso, vinculado a la propiedad de viviendas, que no podrá afectar en caso alguno a la navegabilidad del canal. Se trataría de un derecho accesorio a la propiedad privada colindante que supone un aprovechamiento privativo de una parte mínima del canal navegable, lo que es muy relevante. Impide que pueda asimilarse a la situación abordada en la STC 227/1988, de 29 de noviembre, aprovechamiento que afecta a una dotación total de agua. Tal derecho estaría íntimamente vinculado con las condiciones de navegación del canal cuya regulación corresponde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mayo de 2016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Letrado del Servicio Jurídico del Principado de Asturias, en representación del Consejo de Gobierno de la Comunidad Autónoma, interpone recurso de inconstitucionalidad contra varios preceptos de la Ley 22/1988, de 28 de julio, de costas (LC), en la redacción dada por la Ley 2/2013, de 29 de mayo, por vulneración de la Constitución (art. 132) y del Estatuto de Autonomía del Principado de Asturias (art. 10.1.3).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2/2013 ha sido ya objeto de cuatro Sentencias de este Tribunal: La STC 233/2015, de 5 noviembre, que resuelve el recurso interpuesto por diputados del Grupo Parlamentario Socialista en el Congreso de los Diputados; la STC 6/2016, de 21 de enero, resolutoria del recurso formulado por el Consejo de Gobierno de la Junta de Andalucía; la STC 28/2016, de 18 de febrero, que da respuesta al recurso del Gobierno de la Generalitat de Cataluña, y la STC 57/2016, de 17 de marzo, que resuelve el recurso interpuesto por el Gobierno de Canarias. Todas ellas cobran relevancia en el presente proceso bajo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una previsión que la STC 233/2015, FJ 7, ha declarado ya inconstitucional y nula: la disposición transitoria primera, apartado 5 LC introducida por el art. 1.39 de la Ley 2/2013. De acuerdo con la consolidada doctrina constitucional [por todas, STC 139/2011, de 14 de septiembre, FJ 3 b)], la expulsión del ordenamiento jurídico de esta previsión determina la pérdida sobrevenida de objeto de la impugnación dirigida contra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Aquellos recursos de inconstitucionalidad y el presente formulan reproches y suscitan controversias competenciales coincidentes, por lo que la doctrina de las Sentencias que resuelven los primeros sirve para responder las impugnaciones aún subsistentes del segundo. De acuerdo con una pauta no infrecuente (aplicada ya en las SSTC 6/2016, FJ 2, y 28/2016, FJ 2), cabe dar aquí por reproducidos el fundamento jurídico de la STC 233/2015 relativo al significado y alcance de los arts. 45 y 132 CE (FJ 2) y el de la STC 57/2016 en cuanto a la distribución de competencias entre el Estado y las Comunidades Autónomas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otra parte, la STC 57/2016 ha desestimado impugnaciones que el presente recurso plantea en términos análogos; se refieren a los mismos preceptos y se basan en los mismos motivos. Así, al alegar que el art. 13 bis, apartado 3, y la disposición transitoria cuarta, apartado 3 LC (en la redacción dada los apartados 8 y 40, respectivamente, de la Ley 2/2013) prevén títulos de intervención con invasión de la competencia autonómica en materia de urbanismo y ordenación del territorio, el Letrado del servicio jurídico del Principado de Asturias plantea la queja que en su momento formuló el Gobierno de Canarias, que fue desestimada por la STC 57/2016. A la vista de esta coincidencia objetiva entre los dos recursos de inconstitucionalidad, de acuerdo con la doctrina constitucional (STC 172/1998, de 23 de julio, FJ 2), cabe desestimar estas impugnaciones por remisión a los fundamentos jurídicos 4 y 9 de la indicada Sentencia, lo que nos exime de reproducirlos, siquiera en extracto.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impugna la disposición adicional décima LC, introducida por el art. 1.41 de la Ley 2/2013,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Son urbanizaciones marítimo-terrestres los núcleos residenciales en tierra firme dotados de un sistema viario navegable, construido a partir de la inundación artificial de terrenos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urbanizaciones marítimo-terrestres deberán contar con un instrumento de ordenación territorial o urbanística que se ajuste a las prescripciones que en materia de dominio público marítimo-terrestre se establecen en esta disposición y en sus normas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realización de las obras para construir los canales navegables de la urbanización marítimo-terrestre que dan lugar a la invasión por el mar o por las aguas de los ríos hasta donde se hagan sensible el efecto de las mareas de terrenos que antes de dichas obras no sean de dominio público marítimo-terrestre, ni estén afectadas por la servidumbre de protección, producirán los siguientes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terreno inundado se incorporará al dominio público marítimo-terrestre. No obstante, no se incluirán en el dominio público marítimo-terrestre los terrenos de propiedad privada colindantes a la vivienda y retranqueados respecto del canal navegable que se destinen a estacionamiento náutico individual y privado. Tampoco se incorporarán al dominio público marítimo-terrestre los terrenos de titularidad privada colindantes con el canal navegable e inundados como consecuencia de excavaciones, que se destinen a estacionamiento náutico colectivo y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servidumbre de protección preexistente con anterioridad a las obras mantendrá su vigencia. No se generará una nueva servidumbre de protección ni de tránsito, en torno a los espacios inundados.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instrumento de ordenación territorial o urbanística deberá garantizar a través de viales el tránsito y acceso a los canales, en la forma que se establezca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propietarios de las viviendas contiguas a los canales navegables tendrán un derecho de uso de los amarres situados frente a las viviendas. Este derecho está vinculado a la propiedad de la vivienda y solo serán transmisible junto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obras para la construcción de los canales navegables y los estacionamientos náuticos a los que se refiere la letra a) del apartado 3, precisarán del correspondiente título administrativo para su realización y en ningún caso afectarán a tramos de costa que constituyan playa o espacios protegidos, de acuerdo con lo que se disponga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razona solamente la inconstitucionalidad del apartado 4; vulneraría los principios de inalienabilidad e imprescriptibilidad (art. 132.1 CE), al introducir un derecho de uso a perpetuidad de los amarres, constituido sobre los canales navegables.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impugnación, hay que partir de que el legislador puede no incluir en la zona marítimo-terrestre “terrenos que sean inundados artificial y controladamente, como consecuencia de obras o instalaciones realizadas al efecto, siempre que antes de la inundación no fueran de dominio público”. Así lo ha previsto el art. 3.1 a) LC (en la redacción dada por el art. 1.2 de la Ley 2/2013). Respecto de este precepto hemos declarado que “no infringe el art. 132.2 CE”, porque “no quedan afectados por la exclusión los terrenos naturalmente inundables, que son en todo caso zona marítimo-terrestre, de dominio público por imperativo constitucional” [STC 233/2015,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disponiendo de estos estos márgenes de configuración, ha optado, en lo que afecta específicamente a las denominadas “urbanizaciones marítimo-terrestres”, por incorporar al dominio público los terrenos que, siendo de titularidad privada, quedaran inundados [apartado 3 a) de la disposición adicional décima LC]. El legislador, respecto de bienes que no tienen constitucionalmente asegurado el carácter demanial, ha extendido a ellos tal calificación permitiendo así la aplicación del régimen especial de protección basado en los principios de inalienabilidad, imprescriptibilidad e inembargabilidad (art. 132.1 CE); un régimen especial que supone “excluir el bien afectado del tráfico jurídico privado, protegiéndolo de esta exclusión mediante una serie de reglas exorbitantes de las que son comunes en dicho tráfico iure privato” (STC 227/1988, de 29 de noviembre,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fundamentales de ese régimen especial no pueden entenderse vulnerados porque el legislador haya matizado el alcance de esa ampliación legal del dominio público, bien al dejar de incluir determinados estacionamientos náuticos privados entre los bienes demaniales [apartado 3 a) de la disposición adicional décima LC], bien al atribuir a los propietarios de vivienda contigua a los canales navegables el “derecho de uso de los amarres situados frente a las viviendas”, como derecho “vinculado a la propiedad de la vivienda” que sólo puede transmitirse “junto a ella” (apartado 4 de la disposición adicional décima LC).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declarado que la no inclusión de determinados estacionamientos náuticos privados en el dominio público marítimo-terrestre “no desborda el margen de configuración legal del que dispone el legislador, y puede considerarse acorde con la citada doctrina”. “Se trata por tanto de una regulación que preserva en lo fundamental el carácter demanial de los terrenos inundados que, por su condición de canales navegables, presentan una necesaria continuidad física con el dominio público preservado por el art. 132.2 CE al quedar en comunicación permanente con la zona marítimo-terrestre y el mar territorial, lo que los hace sensibles a los fenómenos naturales propios de la dinámica litoral. La limitada excepción de los estacionamientos náuticos no desborda el margen de configuración legal del que dispone el legislador, y puede considerarse acorde con la citada doctrina” (STC 233/2015,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razonamiento es enteramente trasladable a la previsión que aquí se controvierte específicamente. A ella se ha referido la STC 28/2016, FJ 6, aunque bajo una perspectiva distinta (competencial): “la atribución al Estado de la titularidad del dominio público marítimo terrestre entraña, entre otras consecuencias, que le corresponda determinar el régimen jurídico de dicho demanio (entre otras, STC 31/2010, de 28 de junio, FJ 92)”. “La norma regula un derecho privativo sobre un bien demanial, pues se trata de viviendas contiguas a los canales navegables y éstos son de dominio público (art. 4 LC), derecho que, por tanto, deriva directamente de la previsión legal, lo que es constitucionalmente posible, dado que al Estado, corresponden en cuanto que titular del demanio, las facultades normativas para establecer su régimen de ocupación, sin perjuicio de las competencias sectoriales autonómicas que se ejerzan sobre dicho demanio, que, en todo caso, conserva la calificación de dominio público estatal”; “esas facultades que al Estado corresponden en cuanto titular del dominio que le habilitan para establecer normativamente su régimen de uso, son susceptibles de condicionar o modular las competencias autonómicas, cuando éstas últimas se despliegan sobre demanio público de titularidad estatal (STC 34/2014,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procede desestimar la impugnación de la disposición adicional décima LC, introducida por el art. 1.41 de la Ley 2/2013.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extinguida, por pérdida sobrevenida de objeto, la impugnación de la disposición transitoria primera, apartado 5 de la Ley 22/1988, de 28 de julio, de costas, en la redacción dada por el art. 1.39 de la Ley 2/2013, de 29 de mayo.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mayo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