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mayo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9 de julio de 2015, don Francisco Javier Debón Latorre, interpuso recurso de amparo contra la Sentencia de la Sección Segunda de lo Contencioso-Administrativo del Tribunal Supremo de 25 de mayo de 2015, que desestimó el recurso de casación interpuesto contra la Sentencia de la Sección Cuarta de la Sala de lo Contencioso-Administrativo de la Audiencia Nacional de 21 de febrero de 2014, que asimismo desestimó el recurso contencioso-administrativo interpuesto contra la resolución del Tribunal Económico Administrativo Central de 30 de mayo de 2012, que a su vez había confirmado la reclamación económico-administrativo interpuesta contra el acuerdo de liquidación dictado el 23 de marzo de 2011 por la Delegación Especial de Andalucía, dependencia regional de inspección de la Agencia Estatal de la Administración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demandante, el 24 de septiembre de 2015, presentó escrito por el que, de una parte, se ponía en conocimiento que el 16 de julio de 2015 se había notificado la providencia de 7 de julio de 2015, por la que la Sección Segunda de la Sala de lo Contencioso-Administrativo del Tribunal Supremo resolvía inadmitir el incidente de nulidad de actuaciones promovido por el demandante, y por otra, se solicitaba que se tuviera por ampliado dicho recurso también contra la mencionada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14 de diciembre de 2015, la Sección Segunda del Tribunal Constitucional, acordó inadmitir a trámite el recurso de amparo por no haber concluido el proceso abierto en la vía judicial [arts. 44.1 a) y 50.1 a)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interpuso el 28 de enero de 2016, recurso de súplica frente a la providencia de inadmisión. Considera el Fiscal que el Tribunal Constitucional se ha pronunciado en supuestos como el presente en el que el recurrente había interpuesto recurso de amparo sin tener conocimiento de que el incidente de nulidad de actuaciones formulado de conformidad con el art. 241 de la Ley Orgánica del Poder Judicial contra la resolución definitiva hubiera sido resuelto, puesto que la resolución del mismo, que era anterior a la fecha en que se interpuso el recurso de amparo, se le había notificado con posterioridad a presentar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en tal sentido las SSTC 61/2014 y 69/2014, de 5 de mayo, en las que se rechazó el óbice procesal que había sido invocado por el Fiscal, por simultanear la demanda de amparo con la vía judicial aún abierta, reproduciendo en su apoyo el fundamento jurídico 2 de la STC 61/2014, que considera aplicable al caso, por lo que concluye solicitando que se estime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29 de enero de 2016, la Sección Segunda del Tribunal Constitucional tuvo por interpuesto recurso de súplica por el Ministerio Fiscal y, de conformidad con el art. 50.3 LOTC, acordó dar traslado al demandante de amparo por el plazo de tres días para que alegara lo que estimara pertinente. El recurrente, mediante escrito de 10 febrero de 2016, se adhirió al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se ha expuesto en los antecedentes, el Ministerio Fiscal recurre en súplica la providencia dictada por esta misma Sección en fecha de 14 de diciembre de 2015, por la que se acordó inadmitir a trámite el recurso de amparo, al considerarlo prematuro por haber interpuesto el recurrente un incidente de nulidad contra la Sentencia que desestima el recurso de casación (circunstancia esta que fue silenciada en la demanda de amparo, mención a la que por lealtad procesal venía obligado). El Ministerio Fiscal considera que, conforme al criterio sentado en las SSTC 61/2014, FJ 2, y 69/2014, FJ 2, no puede apreciarse tampoco en este caso la concurrencia del motivo de inadmisión consistente en la falta de agotamiento de la vía judicial [arts. 44.1 a) y 50.1 a) de la Ley Orgánica del Tribunal Constitucional: LOTC], toda vez que el examen de las actuaciones revela que la vía judicial previa había sido objetivamente agotada a la fecha de interposición del recurso de amparo (el 9 de julio de 2015), pues el Tribunal Supremo había dictado ya una providencia de inadmisión (de fecha 7 de julio de 2015) del incidente de nulidad promovido contra la Sentencia, si bien el recurrente desconocía esta circunstancia en el momento de interposición del recurso de amparo, pues la providencia de inadmisión del incidente le fue notificada el 16 de julio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ahora planteada fue abordada expresamente en el ATC 514/2005, de 19 de diciembre, en el que se inadmitía por prematuro un recurso de amparo que, como el actual, se dirigía frente a resoluciones administrativas y judiciales dictadas en el marco de la jurisdicción contencioso-administrativa. Se indicaba que, como resulta del propio relato que ofrece el recurrente, en la fecha en que interpuso el recurso de amparo el proceso judicial no había concluido, pues no se le había notificado la providencia por la que se rechazaba de plano el incidente de nulidad de actuaciones que había promovido frente a la Sentencia desestimatoria de su recurso de apelación. En tal sentido, para que nuestra función constitucional pueda ser ejercida es preciso que estén agotadas las vías judiciales (SSTC 82/2004, de 19 de marzo, FJ 3; 129/2000, de 16 de mayo, FJ 2; 225/2000, de 2 de octubre, FJ 3; 192/2001, de 1 de octubre, FJ 3; y 44/2002, de 25 de febrero, FJ 2). En consecuencia, cuando por su propia decisión el ciudadano ha intentado un remedio procesal o recurso contra la resolución judicial impugnada en amparo, el proceso constitucional no puede iniciarse hasta que la vía judicial, continuada a través de ese remedio o recurso, no se haya extinguido. Ello es así, porque el aseguramiento de su carácter subsidiario exige que el acceso al recurso de amparo no quede abierto en tanto no se hayan agotado los recursos utilizados en la vía ordinaria, siendo contraria a dicho carácter la coexistencia temporal con otro recurso seguido en la vía judicial ordinaria. Y finalizaba refiriendo que “esta anomalía acontece cuando se inicia el proceso de amparo antes de que se resuelvan los recursos interpuestos en la vía judicial ordinaria contra la resolución jurisdiccional que se recurre en amparo. También cuando, como acontece en este caso, el amparo se pide después de haber sido dictada la resolución judicial de inadmisión del remedio procesal intentado, pero no frente a vulneraciones imputables a esta resolución, aún no notificada, sino frente a la que era objeto de dicho remedio, pues, en este supuesto, se produce igualmente la coexistencia en el tiempo del remedio judicial ordinario y del recurso extraordinario que es el amparo constitucional, coexistencia que, como ha se ha dicho, es contraria e incompatible con el carácter subsidiario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cabe intentar sustentar la conducta procesal del demandante en el supuesto carácter cautelar que la jurisprudencia de este Tribunal ha negado reiteradamente. El recurso de amparo, hemos dicho, no posee una función preventiva o cautelar, por lo que “únicamente es admisible ante la existencia real y concreta, efectiva y cierta de vulneraciones de derechos fundamentales y libertades públicas, siendo improcedente frente a lesiones meramente temidas, potenciales o futuras” (ATC 232/2004, de 8 de junio, FJ 4), como sucede en este caso, pues se interpone la demanda antes de tener conocimiento del resultado del incidente de nulidad planteado para reparar la eventual lesión. En definitiva, es necesario esperar a la conclusión de la vía judicial para acudir en amparo ante este Tribunal (STC 189/2002, de 14 de octubre, FJ 6,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como no resulta posible ampliar el objeto del recurso de amparo a resoluciones judiciales no impugnadas en el escrito inicial, en el que ha de individualizarse el acto cuya nulidad se pretende (STC 13/2005, de 31 de enero, FJ 3), no cabe considerar que mediante el escrito presentado por el recurrente el 24 septiembre de 2015 se impugnaba, además de la Sentencia de la Sección Segunda de lo Contencioso-Administrativo del Tribunal Supremo de 25 de mayo de 2015, la posterior providencia de 7 de julio de 2015, resolución judicial ésta a la que ninguna referencia se contiene en la demanda de amparo. Tal consideración conllevaría la esterilidad de una eventual estimación de la demanda de amparo, que no podría alcanzar a la validez de la referida providencia ocasionando un dislate jurídico al mantenerse en el ordenamiento, como consecuencia del proceder del demandante, dos resoluciones de contenido inconciliable.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debemos concluir que la interposición de una demanda de amparo antes de que sea notificada la providencia de inadmisión del incidente de nulidad de actuaciones o de cualquier remedio jurisdiccional utilizado para reparar la eventual vulneración traída en amparo, además de determinar la prematuridad de la demanda, afecta al racional funcionamiento de este Tribunal en fase de admisión (ATC 243/2003, de 14 de julio), pues emitirá un juicio de admisibilidad de la demanda desconociendo tanto la existencia, como el resultado, de un recurso interpuesto ante la jurisdicción ordinaria, que de modo hipotético puede llegar a reparar la eventual vulneración del derecho fundamental. Pero además, la ausencia de cualquier referencia a dicha providencia de inadmisión, así como la inadvertencia de la interposición del incidente de nulidad, tiene relevancia en el ámbito de la delimitación del objeto del proceso de amparo (STC 6/2001, de 15 de enero, FJ 1) y en la calificación de la conducta procesal del demandante desde el prisma de la lealtad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aunque hipotéticamente pudiera entenderse que, como sostiene el Ministerio Fiscal, nos encontramos en el presente caso ante una situación como la contemplada en las SSTC 61/2014 y 69/2014, ello no podría evitar a la postre, en ningún caso, la inadmisión del presente recurso de amparo, al concurrir inequívocamente otro óbice de admisibilidad, cual es la insuficiente justificación de la especial trascendencia constitucional del recurso (art. 49.1 LOTC). En tal sentido, quien solicite el amparo constitucional debe satisfacer necesariamente, de acuerdo con lo dispuesto en el art. 49.1 in fine LOTC, la carga de justificar en la demanda la especial trascendencia constitucional del recurso (STC 155/2009, de 25 de junio, FJ 2; y AATC 188/2008, de 21 de julio, y 289/2008 y 290/2008, de 22 de septiembre). En el presente caso, el demandante no trasciende en su razonamiento de la mera exposición de la supuesta lesión subjetiva denunciada del derecho a la tutela judicial efectiva, de modo que no justifica suficientemente la proyección objetiva del amparo solicitado en los términos exigidos por el art. 50.1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14 de diciembre de 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