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9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Endesa, S.A., interpuso el 20 de enero de 2014 un recurso de amparo (registrado con el núm. 354-2014) contra los siguientes actos: i) la resolución de la Comisión Nacional de la Energía, de 12 de abril de 2012, por la que se practicó la liquidación provisional núm. 2-2012 de las actividades reguladas del sistema eléctrico; ii) la Sentencia de la Sala de lo Contencioso-Administrativo de la Audiencia Nacional (Sección Cuarta), de 30 de enero de 2013, por la que se desestimó el recurso contencioso-administrativo núm. 9-2012 (procedimiento especial para la protección de los derechos fundamentales) interpuesto contra la citada resolución, confirmándola; iii) y la Sentencia de la Sala de lo Contencioso-Administrativo del Tribunal Supremo (Pleno), de 18 de noviembre de 2013, que desestimó el recurso de casación núm. 848-2013 presentado contra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consideraba que la resolución de la Comisión Nacional de la Energía de 12 de abril de 2012, así como las resoluciones judiciales que la confirmaron, vulneraron el art. 14 CE cuando, con base en la disposición adicional vigésima primera, apartado 2, de la Ley 54/1997, de 27 de noviembre, del sector eléctrico (en adelante, Ley 54/1997), aplicable ratione temporis, le exigieron (junto a otras cuatro compañías generadoras de energía eléctrica también designadas nominativamente) la financiación del déficit de tarifa en el porcentaje establecido en dicha Ley, mediante un préstamo forzoso al sistema eléctrico. Y solicitaba, en consecuencia, que este Tribunal declarase la inconstitucionalidad de la liquidación núm. 2-2012 de las actividades reguladas del sistema eléctrico y de las resoluciones judiciales confirmatorias de la misma (elevando, en su caso, la cuestión al Pleno, de conformidad con el art. 55.2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6 de noviembre de 2014 de la Sala Segunda (Sección Tercera) de este Tribunal, el recurso de amparo de la entidad Endesa, S.A., se admitió a trámite, dándose traslado del mismo para alegaciones, conforme dispone el art. 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un escrito presentado el 18 de diciembre de 2014, la entidad Gas Natural SDG, S.A., solicitó que se le tuviera por personada en el proceso, en concepto de codemandada en el proceso de origen. Asimismo, la entidad Hidroeléctrica del Cantábrico, S.A., solicitó igualmente su personación, mediante escrito de 19 de diciembre de 2014. A ambas entidades se las tuvo por personadas mediante diligencia de ordenación de 26 de diciembre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la representación que ostenta, presentó sus alegaciones con fecha 29 de enero de 2015, en las que interesaba la desestimación del recurso por considerar que la obligación de financiar el déficit de tarifa impuesta a determinadas entidades, entre ellas a la aquí recurrente, tenía una justificación objetiva y razonable desde el punto de vista de la igualdad, a la vista de que se trataba en todos los casos de sujetos cualificados del mercado eléctrico, que habían resultado perceptores de los costes de transición a la competencia. Asimismo, señalaba, invocando los informes de la Comisión Nacional de los Mercados y la Competencia (sucesora de la Comisión Nacional de Energía) que el préstamo forzoso exigido a Endesa, S.A., por medio de la resolución impugnada ya había sido recuperado por la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misma fecha de 29 de enero de 2015, la recurrente presentó un escrito por el que evacuaba el trámite de alegaciones conferido, ratificándose íntegramente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el Ministerio Fiscal, por medio de un escrito de 6 de febrero de 2015, interesó que se dictara sentencia desestimatoria del recurso de amparo, señalando, entre otras razones, que la recurrente no había aportado un término válido de comparación que justificara la desigualdad. Coincidía la Fiscal con la justificación razonable de la distinción aducida por la Abogacía del Estado, vinculándola con la percepción por Endesa, S.A., de los costes de transición a la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29 de febrero de 2016, la Sala Segunda acordó conceder a las partes personadas y al Ministerio Fiscal un plazo de diez días, con arreglo al art. 84 LOTC, para que alegaran lo que consideraran pertinente acerca de la eventual pérdida de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Evacuando el trámite conferido, mediante escrito de 28 de marzo de 2016, el Abogado del Estado manifestó que coincidía con la pérdida de objeto del recurso, al haberse satisfecho la cantidad exigida a la recurrente, tal y como se acreditaba con la documentación aportada. De esta documentación se desprendía que la entidad recuperó las cantidades aportadas en el propio ejercicio 2012, por lo que no se devengaron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Endesa, S.A., se manifestó en contra de la pérdida de objeto, por medio de un escrito registrado el 29 de marzo de 2016, en el que argumentaba que, si bien había recuperado las cantidades anticipadas, no se había producido la reparación de los derechos vulnerados ni la satisfacción de los perjuicios soportados como consecuencia del préstamo exigido. La demandante de amparo razonaba que la recuperación de las cantidades anticipadas al sistema eléctrico no suponía la reparación de las vulneraciones producidas ni de los perjuicios ocasionados, sino que era una consecuencia de la naturaleza del préstamo forzoso y de las propias disposiciones legales al respecto que preveían dicha recuperación. Endesa, S.A., señalaba que su pretensión era que se declarase que la disposición adicional vigésima primera, apartado 2, de la Ley 54/1997 infringía el art. 14 CE y el Derecho de la Unión Europea; y, además, que había sufrido una serie de perjuicios financieros que no le habían sido indemnizados y que podría reclamar por la vía de la responsabilidad del Estado legislador, una vez que el Tribunal Constitucional le otorgase, en su caso,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a través de un escrito presentado también el 29 de marzo, no formulaba alegaciones, solicitando en su lugar que se le indicara expresamente el supuesto que en el presente caso motivaría la posible apreciación de la pérdida de objeto. No obstante, se debe indicar que en el recurso de amparo núm. 6887-2014, interpuesto por la entidad Iberdrola, S.A., cuyo objeto y circunstancias coinciden con las del presente proceso, el Ministerio Fiscal sí presentó alegaciones, manifestando que no consideraba que la recuperación de las cantidades anticipadas debiera determinar la pérdida de objeto del proceso, por las mismos motivos esgrimidos por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Finalmente, las entidades Gas Natural SDG, S.A., e Hidroeléctrica del Cantábrico, S.A., personadas en el proceso, no han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doctrina (AATC 43/1985, de 23 de enero, FJ 2; 243/2007, de 21 de mayo, FJ Único; 285/2008, de 22 de septiembre, FJ Único; 287/2008, de 22 de septiembre, FJ Único; 6/2013, de 14 de enero, FJ 1; y 144/2015, de 2 de septiembre, FJ 1), la desaparición sobrevenida del objeto es una de las formas de terminación del proceso constitucional iniciado por el recurso de amparo cuando las circunstancias acaecidas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aun cuando no está prevista expresamente en la Ley Orgánica del Tribunal Constitucional (LOTC), la desaparición sobrevenida del objeto ha sido admitida por este Tribunal como forma de terminación de este proceso constitucional con base en los arts. 80 y 86.1 de la citada Ley, en relación con el art. 22 de la Ley de enjuiciamiento civil, pues, como hemos declarado en reiteradas ocasiones, la función que cumple el recurso de amparo es la reparación de lesiones singulares y efectivas de los derechos fundamentales por lo que, cuando tal reparación se produce fuera del proceso de amparo, no cabe sino concluir que este carece desde ese momento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también hemos afirmado que, a pesar de haber desaparecido formalmente el acto lesivo, deben tenerse en cuenta otros elementos de juicio que puedan continuar haciendo precisa nuestra respuesta (SSTC 84/2006, de 27 de mayo, FJ 2; 128/2006, de 24 de abril, FJ 2; 118/2007, de 21 de mayo, FJ 2, y 133/2007, de 4 de junio, FJ 2; y ATC 144/2015, FJ 1), debiéndose, por tanto, excluir todo automatismo y atender, por el contrario, a las circunstancias concurrentes en cada caso para valorar si el proceso ha perdido realmente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arreglo a la doctrina indicada en el fundamento anterior, procede analizar cuál es el acto lesivo frente al que se impetra el amparo que motiva las presentes actuaciones, así como la pretensión formulada en relación con el mismo. De este examen se desprende que el acto lesivo en este caso es la resolución de la Comisión Nacional de la Energía por la que se establece la obligación a cargo de Endesa, S.A., de efectuar un préstamo al sistema eléctrico y la pretensión principal que se deduce es que se declare su nulidad, que sería imputable realmente a la disposición adicional vigésima primera de la Ley 54/1997, por supuesta infracción del art. 14 CE y del Derecho de la Unión Europea, como paso previo para exigir una indemnización de daños y perjuicios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esto, la efectiva recuperación de las cantidades anticipadas al sistema eléctrico, que es uno de los efectos previstos en la resolución impugnada, con base en la norma que le da cobertura (la disposición adicional vigésima primera, apartado 2, de la Ley 54/1997), no permite concluir que el recurso de amparo haya perdido su objeto, puesto que lo solicitado por el recurrente es que se declare inconstitucional la obligación que se le impuso, no el reconocimiento de su derecho a recuperar el préstamo forzoso realizado, que es inherente a tal figura y que, por otra parte, no resulta aquí controvertido. Es decir, la resolución impugnada ha desplegado plenamente los efectos que le son propios (exigiendo primero un desembolso y permitiendo posteriormente la recuperación del mismo), pero lo solicitado por Endesa, S.A., es que el régimen de anticipos forzosos aplicado se declare radicalmente nulo por ser contrario al art. 14 CE y al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lo anterior debe conectarse con la alegación de la entidad recurrente de que, como consecuencia del préstamo forzoso que le fue exigido, experimentó una serie de perjuicios que tendría derecho a reclamar por la vía de la responsabilidad del Estado legislador, una vez que el Tribunal Constitucional le otorgase, en su caso, el amparo solicitado. Esto significa que Endesa, S.A., mantiene un interés actual y vigente en que se declare que la resolución administrativa impugnada (y las sentencias que la confirmaron), así como la normativa en que se basan (disposición adicional vigésima primera de la Ley 54/1997), son nulas por vulnerar la Constitución, ya que esta declaración podría servir de base para una eventual solicitud de indemnización al Estado por la vía correspondiente, teniendo en cuenta que, en ningún caso el recurso de amparo es el cauce para acordar una indemnización de los posibles perjuicios, como hemos indicado, entre otras, en la STC 107/2000, de 5 de mayo, FJ 3. De este modo, podría considerarse que subsiste, al menos en parte, la lesión ocasionada, en la medida en que, según la entidad, los perjuicios que invoca no han sido totalmente reparados (por todas, STC 233/2007, de 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circunstancia de que en otros procesos de amparo sustancialmente iguales a este (iniciados por otros sujetos del sistema eléctrico a los que se había impuesto la misma obligación de financiar el déficit de tarifa) se haya producido el desistimiento del recurrente, por entender este que sí había quedado satisfecha su reclamación, no debe llevarnos a concluir que la recuperación de las cantidades anticipadas resuelve la pretensión de que se declare inconstitucional el sistema de préstamos forzosos objeto de examen, para solicitar después la indemnización de los perjuicios ocasionados.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cabe apreciar la pérdida sobrevenida del objeto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la pérdida de objeto del presente recurso de amparo, por lo que procede continuar con la sustanciación del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