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24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noviembre de 2011, la Procuradora de los Tribunales, doña Isabel Juliá Corujo, en nombre y representación de doña Susana Pérez-Alonso García-Scheredre, interpuso demanda de amparo contra la Sentencia de la Sala de lo Civil del Tribunal Supremo, dictada en el recurso de casación 805-2008.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10 de mayo de 2016 el Magistrado don Juan Antonio Xiol Ríos comunicó su voluntad de abstenerse en el conocimiento del presente recurso de amparo por entender que concurría la causa undécima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undécima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6237-2011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