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24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noviembre de 2015, el Procurador de los Tribunales don David García Riquelme, en nombre y representación de doña Yuanfang Wei, y bajo la dirección del Letrado don Carlos Castresana Fernández, presentó demanda de amparo contra el Auto del Pleno de la Sala de lo Penal de la Audiencia Nacional de 23 de octubre de 2015, por el que se desestima el incidente de nulidad de actuaciones interpuesto contra el Auto de 22 de septiembre de 2015, por el que se desestima el recurso de súplica núm. 43-2015 interpuesto contra el Auto de la Sección Cuarta de la Sala de lo Penal de la Audiencia Nacional de 14 de julio de 2015, dictado en el rollo de sala núm. 10-2015, acordando acceder en vía jurisdiccional a la entrega extradicional de la recurrente a la República Popular China.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aduce en su demanda de amparo que las decisiones judiciales impugnadas han vulnerado (i) el derecho al Juez ordinario predeterminado por la ley (art. 24.2 CE), argumentando que el delito que se le imputa es la compra en China de productos falsificados para su importación y venta en España, por lo que, en su caso, la conducta típica se habrá producido en España siendo los órganos judiciales de este país los competentes para su enjuiciamiento y no los de China; (ii) el derecho a la legalidad sancionadora (art. 25.1 CE), argumentando que, a los efectos de la doble incriminación, se ha interpretado de manera extensiva el art. 214 del Código penal de la República Popular China que establece como conducta típica la de vender y no la de comerciar en general; y (iii) el derecho a la tutela judicial efectiva (art. 24.1 CE), argumentando que el sistema judicial de China no cuenta con las suficientes garantías para ser sometido a un proceso con las debidas garantías, los testimonios en que se basan la imputación son de coimputados y no estas corroborados, la pena que se puede imponer en China es desproporcionada en relación con la prevista en la legislación española y no se ha tomado en consideración el arraigo social de la recurrente que vive en España desde hace veinticinco años a donde llegó siendo menor de edad y tiene dos hijos de diez años cuyo sustento depende exclusivamente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19 de noviembre de 2015, acordó no admitir el recurso a trámite, con arreglo a lo previsto en el art. 50.1 a) de la Ley Orgánica del Tribunal Constitucional (LOTC),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16 de diciembre de 2015, interpuso recurso de súplica contra dicha providencia, solicitando que fuera dejada sin efecto y se repusieran las actuaciones para que se decidiera nuevamente sobre la admisión de la demanda de amparo. El Ministerio Fiscal argumenta que “[e]l examen de las resoluciones judiciales impugnadas no permite descartar, en esta fase de admisión, la apariencia de lesión constitucional”, poniendo de manifiesto que el art. 214 del Código penal de la República Popular de China solo sanciona las conductas de venta por lo que no cabría entender subsumida en la misma la conducta de la recurrente consistente en la comparar en China de mercancía falsificada para su posterior importación, distribución y venta en España, que, por el contrario, sí está tipificada en el art. 274 del Código penal español. En atención a ello expone que, con arreglo a la doctrina constitucional (STC 162/2000, FJ 6), la exigencia de doble incriminación se enmarca en el derecho a la legalidad sancionadora (art. 25.1 CE) y que en este caso no puede descartarse que se haya producido su vulneración al haber concluido las resoluciones judiciales impugnadas el cumplimiento de este requisito de doble incriminación a partir de una interpretación imprevisible y ajena a los términos de la norma aplicada en tanto que se sustenta que el concepto vender es equivalente al de comerciar en general o a cualquier actividad de compra de productos falsificados.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solicitó mediante otrosí que se acordara la suspensión de las resoluciones judiciales impugnadas en amparo mientras se tramitaba y resolvía el recurso de súplica, a lo que se accedió mediante providencia de la Sección primera de este Tribunal de 17 de diciembre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Primera de este Tribunal, por diligencia de ordenación de 16 de diciembre de 2015, acordó dar traslado del recurso de súplica para alegaciones a la demandante, quien por escrito registrado el 23 de diciembre de 2015 se adhirió en todos sus términos a los argumentos esgrimidos en dicho recurso, ratificándose en las alegaciones formuladas en la demanda de amparo respecto de las vulneraciones de los derechos fundamentales en que considera han incurrido las resoluciones judiciales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en los términos expuestos por el Ministerio Fiscal en su recurso de súplica, no puede descartarse que, tal como se estableció en la providencia de inadmisión ahora impugnada, sea manifiestamente inexistente la concreta vulneración aducida por la recurrente en relación con la interpretación que se ha hecho en las resoluciones impugnadas del concepto venta del art. 214 del Código penal de la República Popular de China para considerar acreditado el requisito de la doble incriminación.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establecido que la exigencia de doble incriminación en el marco de los procedimientos de extradición forma parte, en los casos en que dicha exigencia aparezca expresamente establecida en el instrumento normativo que resulte de aplicación, del derecho a la legalidad sancionadora (así, STC 11/1983, de 21 de febrero, FJ 7, reiterado en las SSTC 102/1997, de 20 de mayo, FJ 6; 162/2000, de 12 de junio, FJ 6; 82/2006, de 13 de marzo, FJ 10, o STC 191/2009, de 28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en concreto, la STC 162/2000 afirma que, “[a]unque la extradición pasiva constituye ‘un proceso sobre otro proceso penal previamente iniciado e incluso concluido sólo que a falta de ejecución en otro Estado’ (STC 141/1998, de 29 de junio, FJ 3), nuestro Ordenamiento establece algunas exigencias de carácter material en el procedimiento extraditorio, como esta de la doble incriminación, que, a los efectos que ahora interesan, implica que el hecho sea delictivo y sancionado con determinada penalidad en las legislaciones penales del Estado requirente y del Estado requerido. El órgano competente del Estado reclamante debe considerar que un hecho ya objeto de condena es delictivo según su legislación penal (lo que resulta obvio, porque en caso contrario no habría impuesto la condena), pero, además, como garantía adicional en el procedimiento de extradición se exige que el mismo hecho por el que se solicita la entrega sea constitutivo de delito según la legislación penal del Estado requerido, lo que representa una concesión o reconocimiento de la soberanía de éste (en sentido similar, AATC 23/1997, de 27 de enero, FJ 2; y 95/1999, de 14 de abril, FJ 3)” (STC 162/2000,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STC 191/2009 afirma que “[c]iertamente no puede excluirse totalmente la posibilidad de que en un procedimiento extradicional pueda verse lesionado el derecho a la legalidad penal; por el contrario, en resoluciones anteriores de este Tribunal atinentes al procedimiento de extradición hemos atendido bajo tal nomen iuris diversos motivos de amparo, habiendo, en algunos de esos casos, otorgado el amparo por vulneración del citado derecho. No obstante ello habrá de tener lugar únicamente cuando los requisitos legales habilitantes de la entrega e indebidamente aplicados por el órgano judicial guarden una directa relación con el haz de garantías que contempla el derecho fundamental recogido en el art. 25.1 CE, tal como acontece en el caso paradigmático de la exigencia de doble incriminación (STC 162/2000, de 12 de junio, FJ 6; 82/2006, de 13 de marzo, FJ 10)”. (STC 191/2009,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contenido de la exigencia de doble incriminación, en su concreta dimensión de que el hecho sea típico de conformidad con las dos legislaciones, la STC 102/1997 afirma que “no significa tanto identidad de las normas penales de los Estados concernidos como ‘que el hecho sea delictivo y con una determinada penalidad (mínima) en las legislaciones penales del Estado requirente y del Estado requerido’ (como últimamente afirmamos en el ATC 23/1997, fundamento jurídico 2, recogiendo doctrina muy consolidada: AATC 753/1985 y 499/1988, por ejemplo)”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Específicamente, por lo que se refiere a la garantía de la legalidad (art. 25.1 CE), en relación con la interpretación de la normativa sancionadora, el Tribunal ha afirmado que la constitucionalidad de la interpretación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(así, STC 150/2015, de 6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queda acreditado en las actuaciones, se pone de manifiesto que el Auto de la Sección Cuarta de la Sala de lo Penal de la Audiencia Nacional de 14 de julio de 2015 establece que los hechos en virtud de los cuales las autoridades chinas reclaman la extradición de la recurrente para su enjuiciamiento son que, en su condición de gerente de una sociedad mercantil constituida en España, encargó a terceras personas con residencia en China la compra de artículos cosméticos y perfumes con marcas falsificadas, para que fueran trasladados a España para su posterior venta en este país (antecedente de hecho sexto). En el fundamento jurídico 3, y a los efectos de acreditar la exigencia de doble incriminación, se afirma que los hechos por los que se reclama a la recurrente “constituyen un delito de mercancías falsificadas de marcas registradas conforme al artículo 214 del Código Penal de la República Popular China, y se encuentran tipificados en el artículo 237 del Código Penal español que castiga el delito contra la propiedad industrial”. Por su parte, en el fundamento jurídico quinto, y en relación con los requisitos de naturaleza procesal, se afirma que concurre la “extensión de la jurisdicción del estado requirente para el conocimiento del delito por el que se pide la extradición, pues el mismo se ha cometido en su territorio”. En virtud de la alegación de la recurrente de que la conducta típica del art. 214 Código penal de China se circunscribe a la de venta de mercancías falsificadas, por lo que es atípica la conducta concretamente desarrollada en China de la compra de dichas mercancías, ya que la conducta punible se ha desarrollado en España, siendo sus Tribunales los competentes para enjuiciar los hechos, en el fundamento jurídico séptimo se afirma que “el Tribunal no comparte ese criterio. Del relato de hechos probados que nos proporciona las autoridades de la República China se infiere que, la conducta de la reclamada se enmarca en una actividad empresarial de compraventa de productos de alta gama falsificados, actividad que de forma sistemática, esta, o a través de terceros, despliega en China, constituyendo los hechos presuntamente perpetrados en este país parte fundamental del iter criminis del delito que se le atribuye, siendo sus autoridades judiciales las competentes para su persecución y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Auto del Pleno de la Sala de lo Penal de la Audiencia Nacional de 22 de septiembre de 2015, recaído en el recurso de súplica núm. 43-2015, ante la insistencia de la recurrente en negar la concurrencia de la doble incriminación, afirma, en relación con los argumentos expuestos en la resolución de instancia, en el apartado 2 del fundamento jurídico único, que “el Pleno de la Sala de lo Penal comparte esta opinión, debiéndose entender la expresión de vender mercancías como la de comerciar en general, no suponiendo ello una interpretación extensiva del tipo, sino una interpretación coherente con el bien jurídico protegido, que por que [sic] lo contrario sería reducir al absurdo el tipo penal. Por ello se entiende que el delito se ha cometido en China, sin perjuicio de los hechos cometidos en España, los cuales no han sido objeto de acusación por parte de nadie”.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debe confirmarse el criterio ya expuesto en la providencia de inadmisión ahora recurrida en súplica de que también la concreta invocación del art. 25.1 CE carece del mínimo contenido constitucional. La interpretación realizada en las resoluciones judiciales impugnadas en amparo del contenido del art. 214 Código penal de China, en el sentido de identificar el concepto vender con el de comerciar en general, que ha sido apoyada de manera unánime por la totalidad de los dieciséis Magistrados que componen la Sala de lo Penal de la Audiencia Nacional, no puede ser calificada como imprevisible o ajena a los modelos de argumentación aceptados por la propia comunidad jurídica en relación con una conducta, como la que ha dado lugar a la solicitud de extradición de la recurrente, consistente en la compra de grandes cantidades de productos falsificados en China para su exportación a España donde eran puestos a la venta.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mediante providencia de 17 de diciembre de 2015, acordó la suspensión de la ejecución de las resoluciones impugnadas en este recurso de amparo, mientras se resolvía el recurso de súplica formulado por el Ministerio Fiscal contra la decisión de inadmisión. Una vez desestimado el recurso de súplica y, por tanto, siendo firme la decisión de inadmisión de este recurso deben alzarse las medidas cautelares acordadas en la citada providencia de 17 de diciembre de 2015.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19 de noviembre de 2015 y alzar las medidas cautelares acordadas mediante providencia de 17 de diciembre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dictado en el recurso de amparo núm. 6382-2015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Sección en la que se sustenta el Auto, manifiesto mi discrepancia con la fundamentación jurídica y el fallo de este. Considero que hubiera debido ser estimado el recurso de súplica interpuesto por el Ministerio Fiscal contra la providencia de inadmisión de 19 de noviembre de 2015.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opinión mayoritaria en la que se sustenta el Auto considera que es manifiesta la inexistencia de violación del derecho a la legalidad sancionadora (art. 25.1 CE). Se argumenta que la interpretación realizada en las resoluciones judiciales impugnadas del contenido del art. 214 de Código penal de la República Popular China, en el sentido de identificar el concepto vender con el de comerciar en general, no puede ser calificada como imprevisible o ajena a los modelos de argumentación aceptados por la propia comunidad jurídica, en relación con la conducta por la que es investigada en China la recurrente, consistente en la compra de grandes cantidades de productos falsificados en China para su exportación a España donde eran puestos a la venta.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comparto esa opinión. Tal como señala el Ministerio Fiscal en su recurso de súplica, creo que en este trámite de admisibilidad no resulta debidamente fundamentado el afirmar que la invocación del art. 25.1 CE es “manifiestamente” inexistente, ya que (i) creo que la aplicación del parámetro de control constitucional del art. 25.1 CE, en lo que respecta a la interpretación y aplicación del derecho extranjero, no puede hacerse con el automatismo pretendido por la opinión mayoritaria en la que se sustenta el Auto; y (ii), en su caso, y aunque se hiciera una aplicación estricta y automática de ese parámetro de control constitucional, no creo que puede excluirse en este momento procesal que la interpretación hecha del art. 214 del Código penal de la República Popular China resulte imprevisible.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jurisprudencia constitucional ha establecido que forma parte del derecho a la legalidad sancionadora (art. 25.1 CE) la comprobación de la concurrencia de la doble incriminación en la aplicación de determinadas instituciones de cooperación jurídica internacional y, singularmente, en la extradición. Conforme a ello, y cuando así aparezca normativamente exigido, la labor del órgano judicial consistente en verificar que el hecho sea típico de conformidad con las dos legislaciones queda sometida a las estrictas exigencias de que en la interpretación de las normas penales de ambos Estados se respete la previsibilidad.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interpretación del Derecho penal español para comprobar el requisito de doble incriminación en los procesos de extradición las exigencias de previsibilidad son similares a las requeridas para la aplicación del mismo precepto sustantivo en un proceso penal. Ahora bien, por lo que se refiere a la labor interpretativa de una norma que no forma parte del ordenamiento jurídico español, como es en este caso el art. 214 del Código penal de la República Popular China, el control de constitucionalidad que impone el art. 25.1 CE requiere (i) la determinación del concreto contenido semántico del precepto; y (ii) su ámbito de aplicación.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Para la traducción o determinación del significado de la norma extranjera, en el presente caso ni siquiera resulta preciso acudir, como hace el Ministerio Fiscal en su recurso de súplica, a la versión inglesa del Código penal chino. Ha sido la representación de la propia República Popular China la que, dando cumplimiento a la obligatoriedad de la entrega de la documentación extradicional debidamente traducida, hace constar que el art. 214 del Código penal de la República Popular China lo que tipifica es la conducta de “vender”. En concreto, la traducción al castellano del precepto penal que se alega infringido por la recurrente que ha aportado el estado requirente es esta: “aquellos que vendieren las mercancías a conciencia de que fuesen de marcas registradas falsificadas, si implicaren una cuantía relativamente grande del monto de la venta, serán sentenciados a una prisión temporal…”. Esto es, el verbo utilizado en el art. 214 del Código penal chino es “vender”.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Una cuestión distinta es la conclusión interpretativa sustentada en las resoluciones judiciales impugnadas en lo referente a considerar que el concepto “vender” se identifica en ese concreto precepto del Código Penal chino con “comerciar”. La opinión mayoritaria en la que se sustenta el auto considera que lo que queda concernido es la constitucionalidad de una mera labor de interpretación judicial que, aun tratándose de Derecho extranjero, pueden legítimamente desarrollar los órganos judiciales españoles con las mismas limitaciones constitucionales que respecto de la interpretación de cualquier otra norma de Derecho nacional.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comparto esta opinión. De conformidad con el art. 281.2 de la Ley de enjuiciamiento civil la vigencia y el contenido del Derecho extranjero son objeto de prueba y, por tanto, son labores excluidas de la mera capacidad interpretativa del órgano judicial. A partir de ello, si se identifica que el contenido no solo es la literalidad de la norma sino también la interpretación y aplicación que de la misma se hace por parte de los órganos judiciales competentes, entonces el problema constitucional sería diferente y se vincularía no a una mera comprobación de que se ha cumplido con el deber constitucional de motivación en la interpretación y aplicación del Derecho extranjero, sino a la comprobación de cuál es la actividad probatoria desarrollada y la valoración que sobre la misma se ha establecido para permitir al órgano judicial llegar a esa conclusión interpretativa. Lo que queda acreditado en las actuaciones es que, a pesar de las dudas que pueden subsistir sobre la corrección de la interpretación de identificar “vender” con “comerciar”, en el proceso extradicional no se ha desarrollado ninguna actividad probatoria para verificar si esa idea defendida por las resoluciones impugnadas de que en el contexto de este concreto precepto vender significa comerciar es la interpretación sustentada por los órganos judiciales chinos. Esto es, ni a petición de la representación del Estado requirente ni del Ministerio Fiscal ni de oficio se ha desarrollado no la más mínima labor probatoria para acreditar que conforme a la jurisprudencia de ese país el art. 214 del Código penal de la República Popular China se interpreta en el sentido asumido por las resoluciones judiciales ahora impugnadas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desde esta perspectiva, que considero la más correcta y respetuosa tanto con la jurisprudencia como con la doctrina sobre la interpretación y la aplicación del Derecho extranjero en el marco de los procesos judiciales españoles, en este trámite de admisibilidad no puede excluirse el suficiente contenido constitucional de esta invocación.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Al margen de lo anterior y con independencia de que se trate de la interpretación de Derecho penal extranjero, tampoco desde la perspectiva asumida por la opinión mayoritaria en la que se sustenta el auto puede afirmarse que la invocación del art. 25.1 CE carezca del necesario contenido constitucional. La conclusión de que el concepto “vender” es asimilado al de “comerciar en general” y, por tanto, que la conducta de la recurrente consistente en la compra de estos productos falsificados para su envío a España con el fin de su posterior venta queda subsumida en el tipo penal del art. 241 del Código penal de la República Popular China, que sanciona el vender mercancías de marcas registradas falsificadas, supone una interpretación que, desde cualquier parámetro interpretativo al uso, no puede excluirse —en este trámite de admisibilidad— que pudiera resultar imprevisible para los destinatarios de las normas.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desde una perspectiva estrictamente lingüística, el diccionario de la Real Academia Española establece, en la primera acepción del verbo “vender”, que es “traspasar a alguien por el precio convenido la propiedad de lo que se posee”; y, en su segunda acepción, “exponer u ofrecer al público los géneros o mercancías para quien las quiera comprar”. En cualquiera de ambas acepciones que, además, se corresponden con el uso de este verbo en el lenguaje común, no puede afirmarse que la conducta de la recurrente consistente en pagar para que se le traspase la propiedad o aceptar la oferta de mercancías mediante su compra, sea una conducta de venta o el comportamiento propio de una vendedora. Del mismo modo, desde una perspectiva jurídica, el contrato de compraventa se define en el art. 1445 del Código civil como el acto por el que uno de los contratantes se obliga a entregar una cosa determinada —acto de venta realizado por el vendedor— y el otro a pagar por ella un precio cierto, en dinero o signo que lo represente —acto de compra realizado por el comprador—; de modo tal que, sin infringir elementales reglas de comprensión jurídica, no puede defenderse que ejecuta acciones de venta aquel que lo que hace es pagar el dinero para que le sea entregada una cosa determinada. Igualmente, desde una perspectiva sistemática, también es concluyente que el Código penal español diferencia en muchos de sus ilícitos penales entre las conductas de venta y compra, sancionando solo las primeras, de modo tal que para incluir conductas de compra con fines de comercialización o exportación utiliza junto con la expresión “vender” otras referidas a la comercialización, como son importar, exportar, distribuir, difundir, etc.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también desde esta perspectiva no podría excluirse en este trámite de admisibilidad el suficiente contenido constitucional de esta invocación del art. 25.1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A la apreciación de que no cabe excluir el necesario contenido constitucional en esta vulneración —bien porque la labor interpretativa se haya desarrollado de manera voluntarista, imprevisible y ajena a los términos de la norma aplicable en China; bien porque sea una conclusión que se ha alcanzado sin desarrollar ningún esfuerzo de verificación de cual sea la interpretación jurisprudencial en China respecto de este precepto—, se une en este caso la existencia de una especial trascendencia constitucional de la demanda. Esta circunstancia radicaría en que es un supuesto que plantea un problema o una faceta de un derecho fundamental susceptible de amparo sobre el que no hay doctrina del Tribunal Constitucional o que, al menos, daría la oportunidad de aclarar y perfilar su doctrina respecto del principio a la legalidad sancionadora en el marco de los procedimientos de extradición [STC 155/2009, FJ 2, supuestos a) y b)].</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la cuestión sobre si las decisiones sobre la interpretación del Derecho extranjero, a los efectos de la doble incriminación, implican una labor hermenéutica de una norma jurídica, sometida al parámetro constitucional de motivación y aplicación de las normas; o, por el contrario, implican una labor de valoración probatoria en relación con el contenido del Derecho extranjero, sometida al parámetro constitucional sobre motivación de los hechos, resulta polémica para la doctrina que ha llegado a considerar que la prueba del Derecho extranjero es un tertium genus entre una eventual naturaleza fáctica y otra normativa, y no está todavía resuelta en la jurisprudencia constitucional. Es cierto que el Tribunal ha establecido que en este tipo de supuestos de extradición los órganos judiciales españoles e incluso el propio Tribunal Constitucional no pueden sustituir a los órganos de interpretación de los países de referencia. En concreto, este Tribunal ha afirmado que “como es obvio, ni los órganos judiciales de la extradición, ni este Tribunal Constitucional, pueden suplir en este caso al Tribunal Constitucional de la República del Perú en la interpretación de la legislación penal peruana, que no cabe tildar, a la vista de los textos legales concernidos, de irrazonada o arbitraria” (STC 82/2006, de 13 de marzo, FJ 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Ahora bien, ese pronunciamiento no establece una doctrina constitucional indubitada respecto de este particular, por lo que esta demanda daría la oportunidad a este Tribunal, dentro de su cometido más estricto, de fijar una regla constitucional de conducta para los órganos judiciales en relación con los supuestos en que exista una controversia interpretativa respecto del ámbito de aplicación de una norma penal extranjera que afecte al cumplimiento de la exigencia de doble incriminación. Especialmente importante sería aclarar por el alcance general que tiene para la globalidad de los procedimientos de extradición (i) si la determinación del ámbito de aplicación de una norma penal extranjera es una labor de interpretación normativa o de valoración probatoria; (ii) si, asumiendo que sea una cuestión de interpretación normativa, el parámetro aplicable es el más estricto de la legalidad penal (art. 25.1 CE) o el ordinario del art. 24.1 CE; (iii) en cualquiera de los dos casos y tomando en consideración la necesidad, como sucede en este supuesto, en que deban interpretarse normas de países por completo ajenos a nuestra cultura, si los parámetros de previsibilidad o razonabilidad lo deben ser en relación con las reglas interpretativas imperantes en España, en el país solicitante o conforme a reglas mínimas propias de la comunidad jurídica internacional; y (iv) si, asumiendo que sea una cuestión de valoración probatoria, la carga probatoria corresponde a las autoridades del país solicitante, a las defensa o cabe también ser iniciada de oficio por el órgano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considero que el recurso de súplica formulado por el Ministerio Fiscal debía haber sido estimado por no ser manifiesta la inexistencia de las lesiones constitucionales aducidas en la demanda de amparo y, además, debía haberse acordado su admisión a trámite habida cuenta de que se cumplen el resto de los requisitos necesarios, singularmente, su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veinticuatro de mayo de dos mil dieciséis.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