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6 de abril de 2015, don Luis Enrique Lamadriz Torres, representado por el Procurador de los Tribunales don Luis Fernando Pozas Osset y asistido por el Letrado don Lucas Boloix Torralba, interpuso recurso de amparo contra la Sentencia de la Sección Primera de la Sala de lo Contencioso-Administrativo del Tribunal Superior de Justicia de la Comunidad Valenciana, de 10 de febrero de 2015, dictada en el rollo de apelación núm. 95-2013, que confirmó la dictada por el Juzgado de lo Contencioso-Administrativo núm. 2 de Castellón, de 4 de octubre de 2012, en el procedimiento abreviado núm. 193-2012.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resolución de 2 de febrero de 2012 se decretó la expulsión del territorio nacional del recurrente, con prohibición de entrada durante cinco años, al amparo de lo dispuesto en el art. 57.2 de la Ley Orgánica 4/2000, de 11 de enero, sobre derechos y libertades de los extranjeros en España y su integración social, tras resultar acreditado que había sido condenado en sentencia firme a un año de prisión. Interpuso recurso contencioso-administrativo, dictándose las Sentencias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queja principal del recurrente es la falta de proporcionalidad y motivación de la decisión administrativa, que no tuvo en cuenta su arraigo en España y sus singulares circunstancias personales. Extiende el reproche a las resoluciones judiciales, con invocación del art. 24.1 CE en su vertiente de derecho a la motivación. Mediante otrosí, en la demanda de amparo y conforme al art. 56.2 de la Ley Orgánica del Tribunal Constitucional (LOTC), solicita la suspensión de las resoluciones impugnadas y, consiguientemente, de la expulsión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admitida a trámite la demanda de amparo, la Sección Cuarta del Tribunal Constitucional, mediante providencia de 9 de mayo de 2016, acordó la apertura de la presente pieza separada de suspensión y, a tenor del art. 56 LOTC, concedió un plazo común de tres días a la parte recurrente y al Ministerio Fiscal para que alegasen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mediante escrito que tuvo entrada en este Tribunal el 19 de mayo de 2016, reiteró su petición de suspensión con base en los argumentos ya esgrimidos en la demanda de amparo, señaladamente por la frustración de la finalidad perseguida en el recurso caso de rechazarse la solicitud, pues podría determinar la ejecución de la orden de expulsión con los efectos que acarrea para quien, como él, tiene arraigo en España y viene residiendo en nuestro país desde hace muchos años, careciendo en cambio de arraigo en su país de origen en el que fue víctima en su momento de un desastre natural. Ampara su petición en los elementos indicados y en la jurisprudencia constitucional que cita (AATC 82/1999, de 12 de abril, 356/2008, de 10 de noviembre, o 156/2010, de 15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Comparte el mismo criterio el Ministerio Fiscal, según alega en escrito que tuvo entrada en el Tribunal el día 23 de mayo de 2016. A su parecer, con invocación de los mismos Autos a los que alude la parte recurrente, procede la concesión de la suspensión para evitar que la efectividad de las resoluciones judiciales recurridas pueda provocar la salida del territorio nacional del demandante, convirtiendo en ilusoria la eventual reparación sucesiva de la lesión que se aduce.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de este Tribunal Constitucional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doctrina que se ha reiterado recientemente, entre tantos otros, por ejemplo, en el ATC 90/2015, de 25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Por ello, la regla general es la improcedencia de la suspensión, salvo en los casos en los que se acredite de forma fehaciente tanto el carácter irreparable del perjuicio para los derechos fundamentales, como la pérdida de la finalidad del amparo en caso de mantenerse la ejecución de la resolución recurrida (por todos, ATC 47/2016, de 29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como señalan los dos Autos citados en el fundamento jurídico anterior, entre tantos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en aplicación de lo expuesto, y conforme también solicita el Ministerio Fiscal, resulta procedente acordar la suspensión de la expulsión del territorio nacional del recurrente, atendiendo al conjunto de circunstancias concurrentes, toda vez que tampoco se aprecia que dicha suspensión pueda originar una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expuestos, y sin que ello suponga prejuzgar la cuestión de fondo planteada, conducen a conceder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de las resoluciones judiciales impugnadas y de la resolución que decreta la expulsión del recurrente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