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23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6244-2014, planteada por la Sección Segunda de la Sala de lo Contencioso-Administrativo del Tribunal Supremo en relación con la disposición adicional trigésima primera de la Ley 35/2006, de 28 de noviembre, del impuesto sobre la renta de las personas físicas y de modificación parcial de las leyes de los impuestos sobre sociedades, sobre la renta de no residentes y sobre el patrimonio, incorporada por la disposición final cuadragésima novena, apartado primero, de la Ley 2/2011, de 4 de marzo, de economía sostenible, por posible vulneración del art. 9.3 de la Constitución. Han comparecido y formulado alegaciones la parte demandante en el proceso judicial, doña Mercedes García Bravo, el Abogado del Estado y el Fiscal General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octubre de 2014, al que se acompaña el correspondiente Auto de 3 de septiembre del mismo año, la Sección Segunda de la Sala de lo Contencioso-Administrativo del Tribunal Supremo acuerda plantear cuestión de inconstitucionalidad en relación con la disposición adicional trigésima primera de la Ley 35/2006, de 28 de noviembre, del impuesto sobre la renta de las personas físicas y de modificación parcial de las leyes de los impuestos sobre sociedades, sobre la renta de no residentes y sobre el patrimonio, incorporada por la disposición final cuadragésima novena, apartado primero, de la Ley 2/2011, de 4 de marzo, de economía sostenible, por posible vulneración del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Mercedes García Bravo estuvo empleada por la sociedad francesa Gilead Sciences, S.A.R.L., trabajando en Francia, desde 1 de octubre de 2002 a 30 de septiembre de 2005. A partir del 1 de octubre de 2005 fue contratada por Gilead Sciences, S.L., residiendo en España desde ese momento. Fue despedida el 16 de febrero de 2007. Los días 14 y 15 de febrero de 2007, doña Mercedes García Bravo ejercitó 143.000 opciones sobre acciones de la sociedad radicada en Estados Unidos Gilead Sciences, Inc., matriz del grupo Gilead Sciences. De ese total, 126.100 opciones le habían sido concedidas durante los años 2002-2005 por el trabajo desempeñado en la sociedad francesa Gilead Sciences, S.A.R.L.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autoliquidación de retenciones del impuesto sobre la renta de las personas físicas (IRPF) correspondiente a febrero 2007 presentada por la sociedad Gilead Sciences, S.L., doña Mercedes García Bravo solicitó de la Agencia Estatal de la Administración Tributaria (AEAT) su rectificación con fecha 6 de marzo de 2008. Dicha solicitud fue desestimada por la AEAT el 12 de noviembre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interesada interpuso reclamación económico-administrativa ante el Tribunal Económico-Administrativo Central contra la resolución de la AEAT, solicitando la devolución del ingreso a cuenta repercutido de 1.874.346,01 €, con sus correspondientes intereses. Por resolución del Tribunal Económico-Administrativo Central de 3 de febrero de 2010, se estimó parcialmente la reclamación, por juzgar excesiva la base sobre la que se calculó el ingreso a cuenta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que interesa a este proceso constitucional, el Tribunal Económico-Administrativo Central desestimó la pretensión suscitada a título subsidiario por la contribuyente: la aplicación de la reducción del 40 por 100 de la renta gravable prevista en el art. 18.2 de la Ley 35/2006, de 28 de noviembre, del impuesto sobre la renta de las personas físicas y de modificación parcial de las leyes de los impuestos sobre sociedades, sobre la renta de no residentes y sobre el patrimonio. Considera el Tribunal Económico-Administrativo Central que no se han cumplido los requisitos previstos en el art. 11.3 del Reglamento del IRPF aprobado por Real Decreto 439/2007,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6 de julio de 2010, doña Mercedes García Bravo interpuso recurso contencioso-administrativo contra dicha resolución del Tribunal Económico-Administrativo Central, que fue desestimado por Sentencia de 30 de junio de 2011 de la Sección Cuarta de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analizar si los actos administrativos recurridos habían sido dictados aplicando un precepto reglamentario que incurría en un exceso, al imponer para la aplicación de la reducción del 40 por 100 unas condiciones no previstas en el art. 18.2 de la Ley 35/2006, concluye que el exceso reglamentario se ha visto paliado como consecuencia de la entrada en vigor de la disposición cuestionada en este proceso constitucional, que otorga rango de ley formal a las normas anteriormente contenidas en disposiciones reglamentarias, sin innovación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incluir limitaciones no previstas en la ley para beneficiarse de la citada reducción del 40 por 100, en sendas cuestiones de ilegalidad la Sala Tercera del Tribunal Supremo ha declarado nulos de pleno derecho el art. 10.3 del Reglamento del IRPF aprobado por Real Decreto 214/1999, de 5 de febrero (Sentencias de 9 de julio de 2008 y 30 de abril de 2009), y el art. 11.3 del Reglamento del IRPF aprobado por Real Decreto 439/2007, de 30 de marzo (Sentencia de 16 de noviembre de 2011). Pese a tener idéntico contenido —e incurrir en idéntico exceso—, no ha sido el caso del art. 10.3 del Reglamento del IRPF aprobado por Real Decreto 1775/2004, aplicable al proceso a quo, que permaneció por tanto formalmente vigente hasta su derogación mediante el Real Decreto 439/2007.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anterior, interpuso recurso de casación. En el escrito de formalización del recurso de casación solicita, con carácter subsidiario a la pretensión principal, el planteamiento de cuestión de inconstitucionalidad en relación con la disposición adicional trigésima primera de la Ley 35/2006, incorporada por la disposición final cuadragésima novena, apartado primero, de la Ley 2/2011, de 4 de marzo, de economía sostenible. Considera la demandante que esta disposición “introduce una modificación legislativa con efectos desde 4 de agosto de 2004, y que la sentencia objeto del presente recurso aplica a un ingreso a cuenta del Impuesto de la Renta de las Personas Físicas practicado en febrero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Conclusa la tramitación del recurso de casación, y dentro del plazo señalado para dictar Sentencia, la Sección, mediante providencia de 14 de mayo de 2014, acordó conferir un plazo común de diez días a las partes y al Ministerio Fiscal para que, de conformidad con el art. 35.2 de la Ley Orgánica del Tribunal Constitucional (LOTC), formularan alegaciones sobre la pertinencia de plantear cuestión de inconstitucionalidad respecto de la disposición adicional trigésima primera de la Ley 35/2006, “por su posible contradicción con los artículos 9.3, 24.1 y 31.1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 evacuar dicho trámite, la demandante solicitó la elevación de cuestión de inconstitucionalidad por posible quebranto de los arts. 9.3, 14, 31.1 y 3 y 24.1 CE. El Ministerio Fiscal consideró innecesario el planteamiento de la cuestión de inconstitucionalidad en los términos solicitados por la parte actora, si bien, para el caso de que el órgano judicial entendiera lo contrario, no se opuso a ello, en los términos y con las reservas que expone en sus alegaciones. Por su parte, el Abogado del Estado se opuso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la cuestión señala,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aplicables a los rendimientos obtenidos por la actora los días 14 y 15 de febrero de 2007 son el art. 18.2 de la Ley 35/2006 y, ratione temporis, el art. 10.3 del Reglamento del IRPF aprobado por Real Decreto 1775/2004, con lo que tanto el Tribunal Económico-Administrativo Central como la Audiencia Nacional se equivocan al manejar el art. 11.3 del Reglamento del IRPF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sendas cuestiones de ilegalidad, la Sala Tercera del Tribunal Supremo ha declarado nulos de pleno derecho, respectivamente, el art. 10.3 del Reglamento del IRPF aprobado por Real Decreto 214/1999, de 5 de febrero (Sentencias de 9 de julio de 2008 y 30 de abril de 2009), y el art. 11.3 del Reglamento del IRPF aprobado por Real Decreto 439/2007, de 30 de marzo (Sentencia de 16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los anteriores, el art. 10.3 del Reglamento del IRPF aprobado por Real Decreto 1775/2004, aplicable al proceso a quo, que permaneció por tanto formalmente vigente hasta su derogación mediante el Real Decreto 439/2007, no ha sido objeto de pronunciamiento jurisdiccional declarando su nulidad. Sin embargo, carecía igualmente de previsión legal alguna que le diera cobertura durante el tiempo de su vigencia. Por ello, de no haber sido aprobada en 2011 la disposición adicional trigésima primera de la Ley 35/2006, objeto de este proceso constitucional, la pretensión de la actora habría sido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que se plantea nada tiene que ver con la retroactividad prohibida por el art. 9.3 CE, que no afecta a las normas fiscales (SSTC 173/1996, de 31 de octubre, FJ 3, y las allí citadas, 150/1990, de 4 de octubre, FJ 8; 197/1992, de 19 de noviembre, FJ 4, y 100/2012, de 8 de mayo, FJ 10). Se formula desde las exigencias propias del principio de seguridad jurídica del mismo art. 9.3 CE, con el que puede entrar en colisión la norma tributaria retroactiva, como cualquier otra [SSTC 126/1987, de 16 de julio, FJ 9 b), y 173/1996, de 31 de octubre, FFJJ 3 y 4]. La vulneración del principio de seguridad jurídica por una determinada norma tributaria requiere, por un lado, la contemplación del grado de retroactividad y, por otro, el análisis de las circunstancias concurrentes en cada supuesto (STC 100/2012, FJ 10,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cuestionada impone una retroactividad de grado máximo al incidir en situaciones plenamente consolidadas. En el caso objeto del proceso a quo, al tiempo de aprobarse, incluso habría prescrito la potestad de la Administración para liquidar el tributo y la del contribuyente para solicitar las oportunas devoluciones. Tan “máxima” es la retroactividad que, cuando se aprueba la disposición cuestionada, ya habían transcurrido varios años desde la sustitución del Reglamento del IRPF de 2004 por el de 2007. Siendo así, la norma sólo se justificaría en exigencias cualificadas del bien común (STC 126/1987, FJ 1) o de interés general [STC 192/1997, FJ 11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de la disposición cuestionada fue dar cobertura legal a posteriori a disposiciones reglamentarias cuya nulidad estaba “anunciada” por ser su contenido idéntico al que fuera anulado por las Sentencias del Tribunal Supremo de 9 de julio de 2008 y 30 de abril de 2009. Tal designio, aisladamente considerado, no puede entenderse fundado en exigencias cualificadas de interés general, pues éste demanda que la Administración, en cualquiera de sus actuaciones, se conduzca con pleno sometimiento a la ley y al derecho, respetando la jerarquía normativa y la reserva de ley en materia tributaria (arts. 103.1, 9.3 y 31.1 CE). Aun cuando sea fácilmente identificable el objetivo de interés general perseguido —evitar una improcedente tributación como irregulares de rendimientos del trabajo a los que no cupiera atribuir ese carácter—, para lograrlo bastaba introducir la norma legal pro futuro u otorgarle una retroactividad impropia o de grado medio. Habida cuenta de las declaraciones de ilegalidad contenidas en las citadas Sentencias del Tribunal Supremo de 2008 y 2009, el interés general demandaba reparar la situación sin violentar el principio de seguridad jurídica del art. 9.3 CE a través de una retroactividad de grado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hipótesis de que la retroactividad de la disposición controvertida se reputase impropia, el Auto desarrolla el test que propone la doctrina constitucional (STC 116/2009, de 18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y en relación con la previsibilidad del cambio normativo, señala que, de no haber mediado la intervención del legislador aprobando la disposición cuestionada, el recurso contencioso-administrativo habría dado lugar al planteamiento de la cuestión de ilegalidad y a un pronunciamiento estimatorio. Por ello, lo previsible a la vista de las circunstancias concurrentes no hubiera sido la aplicación con plenos efectos del art. 10.3 del Reglamento del IRPF de 2004, sino el éxito de la pretensión por las razones fijadas en las sentencias del Tribunal Supremo relativas a los reglamentos del IRPF de 1999 y 2007. Se destacan los efectos perturbadores que produce el hecho manifiestamente aleatorio de la duración del litigio: la disposición cuestionada ha interferido inmediata y directamente en un proceso en curso que, de haber concluido antes, habría tenido un final favorable a la demandante, quedando frustrada esa expectativa in itinere como consecuencia del cambio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recuerda que la duda de constitucionalidad no se suscita en cuanto a la previsibilidad sustantiva, sino en cuanto a sus efectos en el tiempo. El principio constitucional de seguridad jurídica exige que los poderes públicos actúen respetando las exigencias inherentes al mismo en cuanto a la eficacia retroactiva del instrumento normativo empleado.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destaca que la disposición cuestionada afecta, indiscriminadamente, a todos los rendimientos de trabajo derivados de la concesión de opciones sobre acciones “que se imputen en un período impositivo que finalice con posterioridad a 4 de agosto de 2004”, sin tener en cuenta si estaban o no pendientes de revisión administrativa o judicial, cuando es obvio que la situación en uno u otro supuesto era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importancia cuantitativa de la reforma, no parece que la tributación de las opciones sobre acciones represente un porcentaje relevante en la recaudación del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noviembre de 2014, el Pleno de este Tribunal acordó admitir a trámite la cuestión de inconstitucionalidad, reservando para sí el conocimiento de la misma conforme al art. 10.1 c) LOTC y dar traslado de la demanda y documentos presentados al Congreso de los Diputados y al Senado, por conducto de sus Presidentes, al Gobierno, a través del Ministro de Justicia, y al Fiscal General del Estado, para que en el improrrogable plazo de 15 días pudieran personarse en el procedimiento y formular las alegaciones que estimasen convenientes (art. 37.3 LOTC). Asimismo, se ordenó, por un lado, comunicar esa resolución a la Sección Segunda de la Sala de lo Contencioso-Administrativo del Tribunal Supremo a fin de que, de conformidad con el art. 35.3 LOTC, permaneciese suspendido el proceso hasta que este Tribunal resolviese definitivamente la cuestión y, por otro, publicar la admisión de la misma en el “Boletín Oficial del Estado” (lo que se llevó a efecto en el “BOE” núm. 283, de 22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de noviembre de 2014 tuvo entrada en este Tribunal un escrito presentado por la Procuradora doña Gloria Messa Teichman, en nombre y representación de doña Mercedes García Bravo mediante el que se personaba en el proceso constitucional, solicitando que se entendieran con ella las diligencias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28 de noviembre de 2014, el Presidente del Congreso de los Diputados comunicó el acuerdo de la Mesa de la Cámara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Igualmente, por medio de un escrito presentado en el Registro General de este Tribunal el 5 de diciembre de 2014, el Presidente del Senado comunicó el acuerdo de la Mesa de esa Cámara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12 de diciembre de 2014, el Abogado del Estado evacuó el trámite de alegaciones, interesando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recordando que la relación jurídico-tributaria, en una aplicación del concepto doctrinal civilista de la relación jurídica, es la relación entablada entre el obligado tributario y la administración tributaria, relación integrada por un conjunto de deberes y derechos. En concreto la determinación del ordenamiento jurídico al que se sujeta el contenido de la relación jurídica se refiere al devengo del impuesto, constatando a continuación que la normativa vigente al tiempo de producirse el devengo era el artículo 10, apartado tercero, del Real Decreto 1765/2004, de 30 julio, disposición que disciplina la percepción de opciones sobre acciones. Señala también que efectivamente la misma regulación material había sido objeto de declaración de nulidad por parte de sendas Sentencias del Tribunal Supremo, de 9 julio 2008 y de 30 abril 2009. Expuestos los antecedentes de estas cuestiones destaca que el citado Real Decreto 1775/2004 no ha sido objeto de cuestión de ilegalidad, sin que las declaraciones de nulidad operadas sobre las versiones anterior y posterior del controvertido precepto se puedan extender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se refiere al efecto retroactivo de la Ley 2/2011, de 4 marzo, de economía sostenible, cuya disposición final cuadragésima novena, apartado 1, añadió a su vez la disposición adicional trigésima primera a la Ley 35/2006, del impuesto sobre la renta de las personas físicas, cuyo tenor se recoge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Coincide en que estamos ante un supuesto de retroactividad propia, deteniéndose a continuación en los parámetros sentados por la STC 273/2000 para verificar si queda salvaguardado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a partir de lo anterior, destacando la certeza de la norma toda vez que el precepto reglamentario citado estaba en vigor, de manera que la recurrente siempre tuvo certeza y seguridad plena de la norma que gobernó su relación jurídico-tributaria.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previsibilidad de la norma destacando que en el momento de concesión y del ejercicio de la opción sobre acciones el Tribunal Supremo todavía no se había pronunciado sobre la ilegalidad citada, toda vez que dicha acción se ejerció los días 14 y 15 febrero 2007 y las citadas Sentencias son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se refiere a las razones cualificadas de interés general, citando la STC 176/2011, de 8 noviembre y haciendo hincapié en concreto en que existen “poderosas razones de interés general” toda vez que si bien es cierto que la justificación de la enmienda mediante la que se introdujo la meritada disposición adicional puede “no dar una idea clara y certera de la finalidad de la reforma” no lo es menos que la exposición de motivos de la Ley de economía sostenible sí se refiere a la “crisis financiera y económica internacional, la más grave en muchas décadas”. Apunta a partir de lo anterior que el objetivo del cambio normativo “es tan evidente que no requiere especial fundamento”, ya que la concesión de opciones sobre acciones se ha venido utilizando como mecanismo de planificación fiscal contraria a la finalidad y espíritu de la reducción de la base imponible, de manera que la finalidad de la medida no es otra que salvaguardar el principio de justicia en materia tributaria consagrado en el artículo 31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asimismo que la modificación afecta sólo a determinados rendimientos, aquéllos que deriven del ejercicio de opciones de compra sobre acciones o participaciones de trabajadores, sin afectar indiscriminadamente a todos los rendimientos irregulares ni a todas las formas de rendimientos del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haciendo una referencia a la pretensión y a los motivos considerando que la demandante ha introducido una pretensión nueva, toda vez que ya tuvo ocasión de manifestarse y alegar lo que a su derecho conviene sobre la aplicación retroactiva de la ley tanto en el escrito de interposición del recurso de casación como en las alegaciones al planteamiento de la cuestión de inconstitucionalidad, por lo que ningún derecho fundamental con relevancia en el proceso puede ser afectado mediante la aplicación retroactiva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23 de diciembre de 2014, la Procuradora doña Gloria Messa Teichman, en nombre y representación de doña Mercedes García Bravo, presentó sus alegaciones, solicitando la 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destacando que desde la interposición del recurso contencioso-administrativo ante la Audiencia Nacional, como después en casación ante el Tribunal Supremo, viene sosteniendo la inconstitucionalidad de la disposición final cuadragésima novena.1 de la Ley 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en detalle el contexto jurídico en el que tuvo lugar la aprobación de la norma cuestionada, haciendo hincapié en que la regulación que añade la norma coincide con el contenido, reiteradamente declarado ilegal, del Reglamento del impuesto sobre la renta de las personas físicas. En concreto el inciso “si, además, no se conceden anualmente” no se había incorporado a la ley hasta ahora, sino que había venido siendo regulado en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seguidamente las razones por las cuales la citada disposición cuestionada infringe los principios de legalidad, seguridad jurídica, e irretroactividad contemplados en el artículo 9.3 de la Constitución; así como el derecho a la igualdad tributaria y no confiscatorio del artículo 31.1, el principio de reserva de ley tributaria del artículo 31.3 y el derecho de igualdad ante la ley del artículo 14,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fin, que la norma incurre en retroactividad de grado máximo, recalcando que, de acuerdo con la jurisprudencia del Tribunal Constitucional, en tal caso “sólo exigencias cualificadas en el bien común podrían imponerse excepcionalmente al principio”. Insiste en la inconstitucionalidad de la medida toda vez que ni se han constatado tales exigencias de interés general ni tampoco supera el test de previsibilidad en cuanto a sus efectos en el tiempo, haciendo referencia a la jurisprudencia del Tribunal de Justicia de la Unión Europea y, entre otras, la de 12 diciembre 2013, (Asunto C 362/12), Caso Test Claimants in the Franken Investment Income Group Litigation, concluyendo, con cita igualmente de la jurisprudencia del Tribunal Constitucional, que la norma es contraria a la Constitución, y recordando que sus efectos retroactivos afectan incluso a ejercicios que ya están prescritos.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23 de enero de 2015 se presentó en este Tribunal el escrito de alegaciones de la Fiscal General del Estado por el que solicita la 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Fiscal General del Estado aprecia que concurren los requisitos procedimentales para el válido planteamiento de la cuestión, conclusión a la que llega tras examinar de forma detallada los antecedentes de la misma. Asimismo, estima que la posterior sustitución de la norma sobre la que se formula la cuestión por la nueva regulación introducida mediante la Ley 26/2014, de 27 noviembre, no supone la pérdida del objeto de ésta, dado que la resolución del litigio que está en el origen de la misma requiere la aplicación de la norma sobre la que el Tribunal Supremo alberga las dudas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de la cuestión planteada, comienza por recordar, de forma extensa y detallada, la jurisprudencia constitucional en relación con el principio de seguridad jurídica, que se puede ver afectado en supuestos de eficacia retroactiva de normas legales que imponen a los ciudadanos la obligación de contribuir al sostenimiento de los gastos públicos. Tras recordar dicha doctrina, con cita entre otras de las SSTC 126/1987 y 182/1997 así como las más recientes SSTC 176/2011 y 100/2012 y recoger sus principales conclusiones, constata, en primer lugar, que el grado de retroactividad de la norma cuestionada es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aduce que es también evidente que la medida tributaria contenida en la disposición cuestionada viene a cubrir los déficit de reserva legal en materia tributaria de que adolecían tanto el Reglamento del impuesto sobre la renta de las personas físicas de 2004 como el de 2002, particularmente en los requisitos que para esta clase de renta restablecían los preceptos reglamentarios. Es también manifiesto que dichos incisos reglamentarios habían sido previamente anulados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y reiterando la cita de la doctrina constitucional antes reseñada, concluye que si bien es posible hallar razones que pudieran hacer conveniente la restricción de las ventajas fiscales ofrecidas a los perceptores de este tipo de rendimientos, desde la perspectiva constitucional, ello no basta para considerar que la medida es respetuosa con el principio de seguridad jurídica, teniendo además especialmente en cuenta que se trata en este caso del impuesto sobre la renta de las personas físicas, que ocupa un lugar central en 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Examinadas de forma minuciosa todas las consideraciones que en relación con la seguridad jurídica han sido tenidas en cuenta en la doctrina constitucional, se concluye que no cabe apreciar en el presente asunto que concurrieran ni nítidas ni cualificadas exigencias de interés general que pudieran resultar prevalentes a las exigencias derivadas de los principios de seguridad jurídica e interdicción de la arbitrariedad, pudiendo incluso cuestionar que exista una sobrada base lógica suficiente que responda a una intervención absolutamente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ello que no ha quedado acreditada la existencia de tal interés general que permita establecer una medida con un alcance retroactivo auténtico del tal impacto como el que aquí se cuestiona, lo que como mínimo resulta excesivo y desproporcionado en los específicos términos en que se concretó y dadas las circunstancias en que se produjo, y máxime teniendo en cuenta la anulación judicial de los reglamentos a los que se ha hecho referencia. Por último afirma que la Administración tampoco ha aportado datos económicos para determinar el impacto recaudatorio de dicha medida a los efectos de justificar el citado bien común o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concluye manifestando que la disposición cuestionada conculca el principio de seguridad jurídica al establecer una disposición tributaria dotada de retroactividad auténtica sin que concurran exigencias cualificadas de interés común que puedan resultar prevalentes, proponiendo en consecuencia la estimación de la cuestión de inconstitucionalidad y la declaración de inconstitucionalidad y nulidad del inciso “que se imputen en un periodo impositivo que finalice con posterioridad a 4 agosto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junio de 2016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tiene por objeto examinar la posible contradicción con el principio de seguridad jurídica que proclama el art. 9.3 de la Constitución Española, del inciso “que se imputen en un periodo impositivo que finalice con posterioridad a 4 agosto 2004”, de la disposición adicional trigésima primera de la Ley 35/2006, incorporada por la disposición final cuadragésima novena, apartado 1, de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la disposición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añade una nueva disposición adicional trigésima primera en la Ley 35/2006, de 28 de noviembre, del Impuesto sobre la Renta de las Personas Físicas y de modificación parcial de las leyes de los Impuestos sobre Sociedades, sobre la Renta de no Residentes y sobre el Patrimonio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trigésima primera. Rendimientos derivados del ejercicio de opciones de compra sobre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los rendimientos del trabajo que deriven del ejercicio de opciones de compra sobre acciones o participaciones por los trabajadores que se imputen en un período impositivo que finalice con posterioridad a 4 de agosto de 2004, a efectos de la aplicación de la reducción del 40 por ciento prevista en el artículo 18.2 de esta Ley, sólo se considerará que el rendimiento del trabajo tiene un período de generación superior a dos años y que no se obtiene de forma periódica o recurrente, cuando las opciones de compra se ejerciten transcurridos más de dos años desde su concesión, si, además, no se conceden anualmente.”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que entró en vigor el día siguiente a su publicación en el “Boletín Oficial del Estado”, esto es, el 7 de marzo de 2011, modifica el impuesto sobre la renta de las personas físicas con efectos que se retrotraen al 4 de agosto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Supremo, órgano promotor de la cuestión, considera que la disposición puede vulnerar el principio de seguridad jurídica atendiendo a su grado de retroactividad y teniendo en cuenta las circunstancias concurrentes en este caso, por lo que ciñe la cuestión al inciso que extiende los efectos de la misma a 2004, sin cuestionar el resto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Auto que la disposición impone una retroactividad de grado máximo al incidir en situaciones plenamente consolidadas. En el caso objeto del proceso a quo, al tiempo de aprobarse, incluso habría prescrito la potestad de la Administración para liquidar el tributo y la del contribuyente para solicitar las oportunas devoluciones. En cuanto a las circunstancias concurrentes, considera que dicha retroactividad no puede entenderse justificada, ya que su objetivo fue el de otorgar cobertura legal a disposiciones reglamentarias cuya nulidad estaba “anunciada” por ser su contenido idéntico al que había sido anulado por las Sentencias del Tribunal Supremo de 9 de julio de 2008 y 30 de abril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incluso siendo identificable el objetivo de interés general perseguido, que consiste en evitar una improcedente tributación como irregulares de rendimientos del trabajo a los que no cupiera atribuir ese carácter, para su consecución no era necesario dotar a la norma de retroactividad propia, habiendo bastado una retroactividad impropia o de grado medio. Destaca asimismo que la disposición cuestionada afecta, indiscriminadamente, a todos los rendimientos de trabajo derivados de la concesión de opciones sobre acciones “que se imputen en un período impositivo que finalice con posterioridad a 4 de agosto de 2004”, sin tener en cuenta si estaban o no pendientes de revisión administrativa o judicial, cuando es obvio que la situación en uno u otro supuesto era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Ésta es también la opinión que defiende la Fiscal General del Estado, que en un extenso escrito interesa igualmente la declaración de inconstitucionalidad del inciso cuestionado. Tras recoger de forma amplia la doctrina constitucional (con cita, entre otras, de las SSTC 126/1987 y 182/1997 así como las más recientes SSTC 176/2011 y 100/2012), y concluir que el grado de retroactividad de la norma cuestionada es máximo, destaca, como también lo hace el órgano promotor, que la norma cuestionada tenía como principal finalidad la de cubrir los déficit de reserva legal en materia tributaria de que adolecían tanto del Reglamento del impuesto sobre la renta de las personas físicas de 2004 como el de 2002, que habían sido previamente anulados por el Tribunal Supremo en lo referente al requisito de las opciones sobre acciones que aquí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las razones que pudieran hacer conveniente la restricción de las ventajas fiscales ofrecidas a los perceptores de este tipo de rendimientos no son suficientes para poder concluir que su efecto retroactivo es respetuoso con el principio de seguridad jurídica, siendo el efecto de retroactividad máxima, excesivo y desproporcionado en los específicos términos en que se concretó y dadas las circunstancias en que se produjo, máxime teniendo en cuenta la anulación judicial de los reglamentos a los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misma opinión es defendida, en fin, en su escrito de alegaciones, por la parte recurrente en el proceso a quo que, con similares argumentos, aduce que la norma incurre en retroactividad de grado máximo, sin que se haya justificado la existencia de “exigencias cualificadas el bien común que podrían imponerse excepcionalmente al principio”, no habiéndose tampoco superado el test de previsibilidad en cuanto a sus efectos en el tiempo. Todo ello se alega con apoyo tanto en la jurisprudencia del Tribunal Constitucional como en la del Tribunal de Justicia de la Unión Europea, con cita, entre otras, de la Sentencia de 12 diciembre 2013 (asunto C-362/12), caso Test Claimants in the Franken Investment Income Group Litigation.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defiende por el contrario, y en los términos que se han resumido en los antecedentes, que concurrían razones cualificadas de interés general, toda vez que, si bien es cierto que la justificación de la enmienda mediante la que se introdujo la meritada disposición adicional puede “no dar una idea clara y certera de la finalidad de la reforma”, debe tenerse en cuenta que la exposición de motivos de la Ley de economía sostenible contiene una referencia expresa a la “crisis financiera y económica internacional, la más grave en muchas décadas”. De esta manera, sostiene que el objetivo del cambio normativo resulta tan evidente que no precisa de especial fundamento, toda vez que la concesión de opciones sobre acciones se ha venido utilizando como un mecanismo de planificación fiscal contraria a la finalidad y espíritu de la reducción de la base imponible, de forma que la medida tiene, en última instancia, la finalidad de salvaguardar el principio de justicia en materia tributaria consagrado en el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dar respuesta al fondo del asunto, es necesario indicar que el precepto cuestionado no se encuentra ya en vigor, habiendo sido modificado, con efectos a partir del 1 de enero de 2015, mediante el art. 1.78 de la Ley 26/2014, de 27 de noviembre, por la que se modifican la Ley 35/2006, de 28 de noviembre, del impuesto sobre la renta de las personas físicas, el texto refundido de la Ley del impuesto sobre la renta de no residentes, aprobado por el Real Decreto Legislativo 5/2004, de 5 de marzo, y otras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en tantos supuestos similares, lo anterior no es óbice para continuar con su enjuiciamiento en este tipo de proceso jurisdiccional, donde lo relevante es que la norma que se cuestione resulte efectivamente aplicable en el proceso a quo, y que de su validez dependa la decisión a adoptar en éste (SSTC 255/2004, de 23 de diciembre, FJ 2; 116/2009, de 18 de mayo, FJ 2; 73/2014, de 8 de mayo, FJ 2; 83/2015, de 30 de abril, FJ 3, y 25/2016, de 15 de febrero, FJ 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Supremo afirma en el Auto de planteamiento que la norma aplicable al procedimiento en el que se plantea la cuestión es la redacción original. Estando adecuadamente razonado el juicio de aplicabilidad y relevancia —que suscriben el Abogado del Estado y la Fiscal General del Estado— nuestro enjuiciamiento habrá de referirse a la redacción original anteriormente reproducida, sin tomar en consideración las modificaciones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nuestro enjuiciamiento será por tanto la redacción original de la disposición adicional trigésima primera de la Ley 35/2006, incorporada por la disposición final cuadragésima novena.1 de la Ley 2/2011, de 4 de marzo, de economía sostenible, que ha estado vigente entre el 6 de marzo de 2011 y el 31 de enero de 2014. En todo caso, no es impertinente señalar que este enjuiciamiento no afecta al recurso de inconstitucionalidad 6642-2011, interpuesto contra esta misma ley y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ha quedado expuesto en los antecedentes, y en el fundamento primero, la disposición se refiere a los rendimientos del trabajo que deriven del ejercicio de opciones de compra sobre acciones o participaciones por parte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 cabal entendimiento de las cuestiones que se plantean en este pleito, debemos exponer de forma sucinta la evolución reciente de su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17.2 a) de la Ley 40/1998, de 9 de diciembre, del impuesto sobre la renta de las personas físicas y otras normas tributarias, el artículo de idéntica numeración del Real Decreto Legislativo 3/2004, de 5 de marzo, por el que se aprueba el texto refundido de la Ley del impuesto sobre la renta de las personas físicas y, con posterioridad, el art. 18.2 de la Ley 35/2006, de 28 de noviembre, del impuesto sobre la renta de las personas físicas, establecieron que los rendimientos derivados del ejercicio de opciones de compra sobre acciones o participaciones por los trabajadores se computarían en la base imponible del impuesto tras una reducción de su importe, que se ha venido fijando en el 40 por 100, y siempre que se cumplan, además, determinadas condiciones. Como sucede con otras rentas irregulares, la reducción tiene por finalidad mitigar el efecto que la progresividad del impuesto tendría sobre rentas que se perciben en un único ejercicio, pero que, en puridad, se han generado en varios.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que ahora se cuestiona condiciona la aplicación de la reducción a las opciones de compra que cumplan el resto de requisitos (obtención de forma periódica o recurrente, y ejercicio transcurridos más de dos años desde su concesión) a que dichas opciones no se concedan anualmente. Se pretende así evitar que se beneficien de la reducción de rentas irregulares rentas que notoriamente no lo sean, precisamente por percibirse con regularidad en el tiempo, como sucedería si se obtuvieran de forma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hasta la aprobación de la disposición legal, esta última condición o requisito, “si, además, no se conceden anualmente”, había venido siendo establecida en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dicha condición se estableció primero en el Real Decreto 214/1999, de 5 de febrero, por el que se aprueba el Reglamento del impuesto sobre la renta de las personas físicas (art. 10.3) y, posteriormente y en términos similares, en el Real Decreto 1775/2004, de 30 de julio y, finalmente, el Real Decreto 439/2007, de 30 de marzo, por el que se aprueba el Reglamento del impuesto sobre la renta de las personas físicas, y que reprodujo el mismo tenor en su art. 11.3.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desarrollo reglamentario, llevado a cabo por el art. 10.3 del Real Decreto 214/1999, de 5 de febrero, por el que se aprueba el Reglamento del impuesto sobre la renta de las personas físicas, fue anulado por la Sala de lo Contencioso-Administrativo del Tribunal Supremo al declararse excesivo, e ilegal. En concreto, las Sentencias del Tribunal Supremo (Sala Tercera) de 9 de julio de 2008 y de 30 de abril de 2009, respectivamente, declararon la nulidad de los incisos “cuando sólo puedan ejercitarse transcurridos más de dos años desde su concesión” y “si, además, no se conceden anualmente”, del art. 10.3 del Real Decreto 214/1999, por entender que constituían excesos reglamentarios sobre la disposición legal que infringían la reserva de ley vigente en materia tributaria y el principio de jerarquía.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Real Decreto 1775/2004, de 30 de julio, que reprodujo sin variación el precedente art. 10.3 del Reglamento de 1999, fue la norma que inicialmente habría resultado aplicable al supuesto de hecho que subyace a esta cuestión, si no se hubiera modificado la Ley del impuesto con efectos retroactivos. El Real Decreto 1775/2004 entró en vigor el 5 de agosto de 2004. Por su parte, la disposición adicional trigésima primera de la Ley 35/2006, introducida mediante la Ley 2/2011, habría de resultar aplicable a aquellos rendimientos que se imputaran “con posterioridad a 4 de agosto de 2004”. Dada la coincidencia de las fechas de entrada en vigor del Reglamento y los efectos retroactivos de la citada Ley, el Auto del Tribunal Supremo considera que tal efecto retroactivo venía motivado para evitar el vacío normativo consecuencia de la previsible anulación del Reglamento de 2004, pues dada su identidad con el Reglamento de 1999, y dada también la identidad de las normas legales reguladoras del impuesto, incurre en el mismo exceso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los términos ya expuestos, la disposición adicional trigésima primera de la Ley 35/2006, incorporada por la disposición final cuadragésima novena, apartado 1, de la Ley 2/2011, se cuestiona únicamente por su efecto retroactivo, al aplicarse a rendimientos generados a partir del 5 de agosto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 la compatibilidad de tal retroactividad con el art. 9.3 CE debemos antes de nada recordar que no existe una prohibición constitucional de la legislación tributaria retroactiva, pues las normas tributarias no tienen carácter sancionador sino que imponen a los ciudadanos la obligación de contribuir al sostenimiento de gastos públicos o de efectuar prestaciones patrimoniales de carácter público (art. 31.3 CE). Tampoco, como hemos reiterado, existe en nuestro ordenamiento constitucional un derecho de los ciudadanos al mantenimiento de un determinado régimen fiscal (SSTC 126/1987, de 16 de julio, FJ 11 y 116/2009, de 18 de mayo, FJ 3), aun cuando sí se exija la protección de la confianza de los ciudadanos que ajustan su conducta económica a la legislación vigente frente a cambios normativos que no sean razonablemente previsibles, ya que la retroactividad posible de las normas no puede trascender la interdicción de la arbitrariedad (SSTC 150/1990, de 4 de octubre, FJ 8; 182/1997, de 28 de octubre, FJ 11; 89/2009, de 20 de abril, FJ 3; 90/2009, de 20 de abril, FJ 4, y 100/2012, de 8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retroactividad podrá ser contraria al principio de seguridad jurídica e interdicción de la arbitrariedad (art. 9.3 CE), dependiendo de su grado, así como las circunstancias específicas que concurran en cada caso, lo que resultará clave en el enjuiciamiento a la luz de la Constitución [SSTC 126/1987, de 16 de julio, FJ 11; 150/1990, de 4 de octubre, FJ 8; 173/1996, de 31 de octubre, FJ 3; 182/1997, de 20 de octubre, FJ 11 c), y STC 176/2011, de 8 de noviembre, FJ 5, entre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preciso tener en cuenta de manera especial tanto el tipo de impuesto en que se produce, su naturaleza y la estructura del hecho imponible, como las circunstancias concretas concurrentes en el caso. Conviene recordar que, a efectos de la determinación de la norma aplicable, en la dogmática tributaria el devengo es el momento en que, por establecerlo así la Ley, se entiende realizado el hecho imponible y nacida la obligación tributaria. En los tributos instantáneos el aspecto temporal del hecho imponible no adquiere relevancia jurídica y la realización del elemento material del hecho imponible determina el nacimiento de la obligación tributaria. Ahora bien, en los tributos periódicos, cuyo hecho imponible consiste en un estado de cosas o situación (elemento material) que no se agota en sí mismo sino que se prolonga de manera continuada en el tiempo, no basta, a fin de ponderar el alcance de la retroactividad de la norma, con atender sólo al momento del devengo; ha de tenerse en cuenta también el período impositivo o dimensión temporal del elemento objetivo del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todas las partes coinciden en que, en los ejercicios 2004 a 2010, estamos ante un supuesto de retroactividad de grado máximo, pues se afecta a situaciones jurídicas cuyos efectos ya se han consolidado (SSTC 126/1987, de 16 de julio, FJ 11; 197/1992, de 19 de noviembre, FJ 4 y 182/1997, de 28 de octubre,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afecta a siete ejercicios fiscales que ya habían finalizado en el momento de su entrada en vigor (ejercicios 2004 a 2010), por lo que sólo puede concluirse que su incidencia inmediata sobre el principio de seguridad jurídica es evidente, lo que permite anticipar que es susceptible de trascender la interdicción de la arbitrariedad (SSTC 150/1990, de 4 de octubre, FJ 8; 182/1997, de 28 de octubre, FJ 11; 90/2009, de 20 de abril, FJ 4, y 100/2012, de 8 de mayo, FJ 10). En efecto, en los casos de retroactividad propia, hemos reiterado que, como regla general, la prohibición de la retroactividad operaria plenamente, de modo que debe examinarse si concurren “exigencias cualificadas del bien común” [STC 176/2011, FJ 5, con cita de las SSTC 126/1987, de 16 de julio, FJ 11; 197/1992, de 19 de noviembre, FJ 4; 173/1996, de 31 de octubre, FJ 5 C), y 182/1997, de 20 de octubre, FJ 11 d)], pues sólo en tal caso podrá concluirse la licitud de la disposición y, por tanto, el sacrificio de ese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insistido en que dichas exigencias de interés general “deben ser especialmente nítidas cuando la norma retroactiva de que se trate incide en un tributo como el impuesto sobre la renta de las personas físicas” [STC 182/1997, de 28 de octubre, FJ 13 A)], que es lo que acontece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Constatado que, en los ejercicios 2004 a 2010, se produce una retroactividad de grado máximo, debemos examinar si concurre alguna razón que permita entender justificada la afectación que a la seguridad jurídica se ha producido, examinando el conjunto de circunstancias que concurren en 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cuestionada fue incorporada en el Senado mediante una enmienda del Grupo Socialista, (la número 608), y fue justificada en la necesidad de “aclarar el régimen tributario aplicable a los rendimientos del trabajo derivados del ejercicio de opciones de compra sobre acciones, incrementando la seguridad jurídica de las empresas y trabajadores cuyos planes de opciones se ajustaron a tales requisitos” (“Boletín Oficial de las Cortes Generales”, Senado, número 9, de 28 enero 2011, página 509).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finalidad, que puede guardar conexión con la decisión del legislador de otorgar rango de ley al régimen jurídico que, hasta ese momento, había venido siendo regulado mediante reglamento, no se encuentra sin embargo conectada con el grado de retroactividad otorgado a la medida, sino sólo con su incorporación a la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justifica la adopción de la disposición cuestionada afirmando que existen “poderosas razones de interés general”, y resaltando que el objetivo del cambio normativo “es tan evidente que no requiere especial fundamento”. Más concretamente, se refiere a dos tipos de justificaciones; por un lado, el contexto de crisis financiera que rodea el momento en que la medida se aprueba y, por otro, que las opciones sobre acciones han sido empleadas en maniobras de planificación fiscal, con lo que la medida pretendería en suma salvaguardar el principio de justicia tributaria consagrado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razones no son suficientes para entender justificada la retroactividad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las invocaciones genéricas a la crisis financiera no pueden tener virtualidad alguna, por sí mismas, para admitir el establecimiento de una medida con el grado de retroactividad como la que aquí se cuestiona. La realidad de la crisis financiera, y sus devastadores efectos sobre las cuentas públicas, no permiten sin más tener por justificado cualquier grado de retroactividad por el mero hecho de que éste pueda facilitar que se atajen economías de opción como las que refiere el escrito del Abogado del Estado. Todo ello sin perjuicio de que lo que se controvierte en este caso no es la medida en sí, sino su efecto retroactivo, que extiende sus efectos desde el ejercicio de 2004, alcanzando de lleno ejercicios en los cuáles la crisis financiera y después económica no había ni siquiera empezado.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en concreto sobre la justicia tributaria, a la que también alude el Abogado del Estado, no cabe duda de que la finalidad de luchar contra determinadas economías de opción, o directamente contra prácticas elusivas de impuestos, constituye, como tantas veces hemos reiterado, un mandato constitucional, ya que “la amplitud y la complejidad de las funciones que asume el Estado hace que los gastos públicos sean tan cuantiosos que el deber de una aportación equitativa para su sostenimiento resulta especialmente apremiante. De otra forma se produciría una distribución injusta en la carga fiscal, ya que lo que unos no paguen debiendo pagar, lo tendrán que pagar otros con más espíritu cívico o con menos posibilidades de defraudar” (por todas, STC 110/1984, de 26 de noviembre, FJ 3). La garantía de un sistema tributario justo es central a todo Estado social y democrático de derecho, ya que, en ausencia de tal sistema, no puede ni siquiera haber una sociedad civilizada. Ahora bien, ello no permite, sin más, que el legislador pueda anudar a una disposición una retroactividad de efectos tan amplios como la que aquí se enjuicia, pues ello convertiría el principio de seguridad jurídica en una mera ilusión o en un principio vacío de contenido. Tampoco el hecho de que, en ocasiones, el empleo de normas retroactivas pueda permitir atajar determinados mecanismos de elusión de impuestos, como se ha constatado entre otros casos en el decidido en la Sentencia del Tribunal de Justicia de la Unión Europea 26 de abril de 2005 (C-376/02), caso Stichting Goed Wonen contra Staatssecretaris van Financiën, no permite sin más avalar una retroactividad auténtica y amplia como la que aquí se examina, pues ello supone desconocer abiertamente un valor central del ordenamiento jurídico como es el principio de confianza legítima, corolario del principio de seguridad jurídica y al que también se ha referido el mismo Tribunal [entre otras en las Sentencias de 11 de julio de 2002, Marks &amp; Spencer (C 62/00), párrafo 46; o de 12 diciembre 2013, (asunto C 362/12), caso Test Claimants in the Franken Investment Income Group Litigation, párrafos 44 y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 está de más recordar que la justicia tributaria fue ya invocada, en similares términos genéricos, en relación precisamente con una norma retroactiva del impuesto sobre la renta de las personas físicas que afectaba a determinados rendimientos irregulares, en el asunto enjuiciado en la STC 176/2011, de 8 de noviembre. También en aquél caso, según constatamos, el efecto retroactivo pretendía ampararse en “la finalidad, constitucionalmente respaldada, de una mayor justicia tributaria” (STC 126/1987, de 16 de julio, FJ 13). Dijimos entonces que “aunque pudieran haber existido razones que hicieran conveniente la modificación, sin embargo, en la medida en que dicha modificación afecta por igual a todas las rentas irregulares del trabajo, sin establecer distinciones de ningún tipo para aquellas rentas que pretendidamente serían el objeto de la medida porque con ellas se propiciaban operaciones de planificación fiscal, se produce un tratamiento indiscriminado. Este tratamiento indiscriminado implica que el efecto retroactivo se proyecte por igual sobre todas las rentas irregulares del trabajo, lo que no sólo pone en duda la existencia misma de un cualificado fin de interés general sino que tiene como consecuencia que la medida tenga un alcance más general que el que pudiera estar reflejado en la tramitación parlamentaria”, lo que nos condujo a concluir que la norma cuestionada “ha llevado a cabo, retroactivamente, una alteración en la determinación de la deuda tributaria del impuesto sobre la renta de las personas físicas sin la concurrencia de nítidas y cualificadas exigencias de interés general que justificasen el efecto retroactivo otorgado, lo que conduce a estimar que se ha producido la vulneración del principio de seguridad jurídica garantizado por el art. 9.3 de la Constitución y, en su consecuencia, a declarar la inconstitucionalidad y nulidad” (STC 176/2011,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caso, la conclusión no puede ser diferente a la alcanzada en la STC 176/2011, para aquellos ejercicios en los que la retroactividad es de grado máximo, pues el efecto retroactivo de la norma afecta, también indiscriminadamente, a todo tipo de retribución mediante opciones sobre acciones, se haya constatado o no su uso torticero en la elusión de impuestos. Todo ello sin perjuicio de que el hecho de que la retribución mediante opciones sobre acciones pueda emplearse para eludir impuestos de forma contraria al ordenamiento jurídico, no es razón suficiente para avalar sin más una modificación retroactiva de su régimen, pues es evidente que cualquier instrumento o negocio jurídico, -como un contrato de compraventa o la creación de una sociedad- puede ser empleado para eludir impuestos. Dicho de otro modo, si se aceptara como justificación suficiente la potencialidad defraudadora de esta modalidad retributiva, ello permitiría admitir virtualmente cualquier tipo de medida retroactiva, siempre que pudiera demostrarse que afecta a algún negocio susceptible de ser empleado para la elusión de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cabe cuestionar los motivos del legislador, pero si el objetivo de interés general era evitar una improcedente tributación como rendimientos del trabajo irregulares a los que no resulta jurídicamente posible atribuirles ese carácter, es evidente que para su consecución hubiera bastado con introducir la norma legal con efectos pro futuro o, incluso, otorgarle una retroactividad impropia o de grado medio, lo que habría exigido que resultara aplicable sólo a aquéllos contribuyentes cuyos periodos impositivos no hubieran finalizado.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así concluir, a partir de lo anterior, que no se han constatado razones suficientes para justificar un grado de retroactividad como el examinado en este proceso, pues debe insistirse en que los efectos de la disposición cuestionada se retrotraen a casi siete años naturales, de manera que, como destaca el Auto del promotor de la cuestión y también la Fiscal General del Estado, afecta incluso a ejercicios ya prescritos.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modificación que ahora se regula en una ley hubiera estado antes contemplada en una norma reglamentaria no enerva la conclusión alcanzada. Primero, porque cuando se trata de una retroactividad de grado máximo como la que se produce en los ejercicios 2004 a 2010, la previsibilidad no forma parte del análisis de su constitucionalidad. Y, en todo caso, porque por mucho que la medida en concreto adoptada pudiera ser previsible, el grado de retroactividad de la ley, que es lo que aquí se controvierte, no lo era. A mayor abundamiento, y como destacan tanto el Auto del Tribunal Supremo como el escrito de alegaciones de la Fiscal General del Estado, si como parece era previsible la declaración de ilegalidad de la norma reglamentaria, por ser ésta idéntica a otra anterior igualmente declarada ilegal, entonces la expectativa razonable de los contribuyentes era precisamente su anulación, de manera que el efecto retroactivo de la disposición que enjuiciamos sólo vendría justificado por la finalidad de sanar, a posteriori, una previsible declaración de exceso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hay que añadir, en segundo lugar, que este proceso constitucional sólo puede ceñirse a la disposición de rango legal que se cuestiona. Como se expone en el Auto de planteamiento de la cuestión, corresponderá al Tribunal Supremo, en su caso, pronunciarse sobre la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que ha quedado expuesto, debemos concluir que la norma cuestionada ha vulnerado el art. 9.3 CE, toda vez que limita la aplicación de la reducción correspondiente a las rentas irregulares y le dota de una retroactividad de grado máximo, en los ejercicios 2004 a 2010, sin que se haya constatado la concurrencia de exigencias cualificadas de interés común que puedan resultar prevalentes. Tal efecto no tiene lugar, sin embargo, en el ejercicio 2011, ya que en éste la retroactividad era impropia, y la medida previsible, de acuerdo con nuestra doctrina (por todas, STC 182/1997, FJ 13). Procede en consecuencia estimar la cuestión planteada para los ejercicios 2004 a 2011 en los que la retroactividad fue de grado máximo, y declarar inconstitucional y nulo el inciso “que se imputen en un período impositivo que finalice con posterioridad a 4 de agosto de 2004”, de la disposición adicional 31ª de la Ley 35/2006, de 28 de noviembre, del impuesto sobre la renta de las personas físicas y de modificación parcial de las leyes de los impuestos sobre sociedades, sobre la renta de no residentes y sobre el patrimonio, en la redacción otorgada por la disposición final 49ª.1 de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estará de más recordar que conforme al art. 40.1 de la LOTC, la presente Sentencia no permite revisar procesos ya fenecidos mediante sentencias con fuerza de cosa juzgada en los que se haya aplicado el precepto ahora declarado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inciso “que se imputen en un período impositivo que finalice con posterioridad a 4 de agosto de 2004” de la disposición adicional trigésima primera de la Ley 35/2006, de 28 de noviembre, del impuesto sobre la renta de las personas físicas y de modificación parcial de las leyes de los impuestos sobre sociedades, sobre la renta de no residentes y sobre el patrimonio, en la redacción otorgada por la disposición final cuadragésima novena.1 de la Ley 2/2011, de 4 de marzo, de economía sostenible, en su aplicación a los ejercicios de 2004 a 2010.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