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22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enero de 2016, la Procuradora de los Tribunales doña Raquel Gracia Moneva, en nombre y representación de don Abdelmajil Bilal, en su calidad de tutor legal de don Z. B., interpuso recurso de amparo contra la Sentencia de la Sala de lo Contencioso-Administrativo (Sección Segunda) del Tribunal Superior de Justicia de Cataluña de 11 de diciembre de 2015, dictada en el recurso de apelación núm. 168-2015, desestimatoria del recurso interpuesto contra la Sentencia del Juzgado de lo Contencioso-Administrativo núm. 8 de Barcelona de 24 de noviembre de 2014, recaída en el procedimiento abreviado núm. 516-2013, desestimatoria del recurso contencioso-administrativo presentado contra la resolución de la Subdelegación del Gobierno en Cataluña, de 15 de abril de 2014, ésta a su vez desestimatoria del recurso de reposición formalizado, en el expediente administrativo núm. 080220130004729 contra la resolución del mismo órgano de 8 de noviembre de 2013, que acordó, en aplicación del art. 57.2 de la Ley Orgánica 4/2000, de 11 de enero, sobre derechos y deberes de los extranjeros en España y su integración social (en adelante, LOEx), la expulsión del actor del territorio nacional, con prohibición de entrada en el mismo por un período de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(persona incapacitada que actúa a través de su representante legal) se queja de una vulneración de su derecho a la tutela judicial efectiva determinante de indefensión (art. 24.1 CE) derivada de la falta de concreción, en las resoluciones administrativas y judiciales impugnadas, de la amenaza que representa para el orden público y la seguridad nacional, determinante de la medida de expulsión y de la ausencia de toda ponderación de las circunstancias personales concurrentes, ya que el actor no sólo es un residente de larga duración sino que, además, es una persona sometida a tutela al haber sido civilmente incapacitado por carecer de las capacidades intelectivas y volitivas necesarias para valerse por sí mismo. Asimismo, denuncia el demandante la lesión del derecho “a una vida digna” y a la “integridad” ambos “en relación [con] la dignidad de la persona (art. 15 en relación [con] los arts. 19 y 49 CE)”, así como del derecho a la intimidad familiar del art. 18 CE, en relación con “la protección social y económica de la familia” (arts. 39 y 49 CE), al no haberse valorado “que se expulsaba a un residente de larga duración incapacitado”, al que la medida impuesta suponía “una situación de auténtica desprotección”.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la representación del actor solicita en su demanda la suspensión de la ejecución de la medida de expulsión, cuya ejecución le produciría perjuicios de difícil reparación que privarían al amparo de efectividad en el caso de una eventual estimación, teniendo en cuenta su situación personal, pues se vería obligado a salir del territorio nacional, lo que supondría, de facto, dejarle en una “auténtica situación de desamparo”, al no poder contar con la protección tutelar establecida en vía civil. Añade la demanda que la medida cautelar que se solicita no genera ningún peligro para el interés general, pues el actor es “un enfermo, que se encuentra bajo supervisión y tutela establecida judicialmente y cuyo delito se remonta hace ya 13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7 de junio de 2016 la Sección Cuarta de la Sala Segunda de este Tribunal acordó admitir a trámite el recurso de amparo y dirigir atenta comunicación al Juzgado de lo Contencioso-Administrativo de Barcelona a fin de que, en el plazo de diez días, emplazara a quienes hubieran sido parte en el proceso del que trae causa el presente recurso de amparo, excepto la parte recurrente, para que pudieran comparecer en el procedimiento en el plazo de diez días. En la misma resolución se acordó formar la oportuna pieza para la tramitación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7 de junio de 2016, la Sala Segunda incoó la pieza de tramitación del incidente de suspensión y, conforme a lo dispuesto en el art. 56 de la Ley Orgánica del Tribunal Constitucional (LOTC),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escrito presentado el 14 de junio de 2016, el actor formuló sus alegaciones, limitándose a reproducir literalmente el otrosí ya incorporado a la demanda relativa a este concreto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17 de junio de 2016, el Ministerio Fiscal interesó que se otorgara la suspensión solicitada. Tras exponer la doctrina de este Tribunal en relación con el art. 56 LOTC, el Fiscal ante el Tribunal Constitucional sostiene que, en los casos de expulsión de extranjeros, la ejecución de las resoluciones judiciales por las que se declara procedente la expulsión del actor, con la consiguiente salida del territorio nacional, puede convertir en ilusoria una eventual concesión del amparo, pues una vez que el ciudadano expulsado se encuentra fuera de nuestras fronteras, un fallo estimatorio de este Tribunal carecería de eficacia práctica para preservar o restaurar los derechos fundamentales invocados, en la medida en que lo que se trata de evitar con el recurso —la expulsión— ya ha tenido lugar. Aunque una eventual concesión del amparo pueda tener como consecuencia la posibilidad de que el recurrente regrese a España, los perjuicios de carácter personal, económico y familiar que se le ocasionarían con la expulsión serían, en opinión del Ministerio Fiscal, de imposible resarcimiento. Por lo demás, entiende el Fiscal que no parece que, de la suspensión, se derive una perturbación grave del interés general o de los derechos fundamentales o libertades públicas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expulsión de extranjeros del territorio nacional, este Tribunal ha señalado, con carácter general,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 AATC 66/2012, de 16 de abril, FJ 2; 116/2013, de 20 de mayo, FJ 2, y 90/2015, de 25 de mayo,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doctrina precedente al caso ahora examinado debe llevarnos, conforme interesa también el Ministerio Fiscal, a acordar la suspensión de la expulsión del territorio nacional de la persona tutelada por el recurrente, atendiendo al conjunto de las circunstancias personales de aquél, toda vez que tampoco cabe apreciar que dicha suspensión pueda originar una perturbación grave de los intereses generales ni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medida de expulsión del territorio nacional y prohibición de entrada durante cinco años impuesta al actor en la resolución de la Subdelegación del Gobierno en Barcelona de 8 de noviembre de 2013 y confirmada en la resolución del mismo órgano de 15 de abril de 2014 y en las Sentencias dictadas por la Sala de lo Contencioso-Administrativo (Sección Segunda) del Tribunal Superior de Justicia de Cataluña el 11 de diciembre de 2015 y por el Juzgado de lo Contencioso-Administrativo núm. 8 de Barcelona el 24 de noviembre de 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