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1995-2014, interpuesto por el Letrado del servicio jurídico del Principado de Asturias, en representación del Consejo de Gobierno de la Comunidad Autónoma, contra los apartados 7 y 9 del art. 1, el art. 2.2 y las disposiciones adicionales sexta, transitorias primera a cuarta de la Ley 27/2013, de 27 de diciembre, de racionalización y sostenibilidad de la Administración local, por vulneración de la Constitución (art. 149.1.18) y del Estatuto de Autonomía del Principado de Asturias (arts. 6, 10.1.2 y 11.10).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marzo de 2014, el Letrado del servicio jurídico del Principado de Asturias, en representación del Consejo de Gobierno de la Comunidad Autónoma, interpone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impugna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24 bis de la Ley 7/1985, de 2 de abril, reguladora de las bases del régimen local (LBRL), introducido por el art. 1.7 de la Ley 27/2013. El art. 10.1.2 del Estatuto de Autonomía para Asturias (EAAst) atribuye a esta Comunidad Autónoma la competencia exclusiva para la creación de organizaciones territoriales de ámbito inferior al municipio de acuerdo con la posibilidad prevista en el art. 148.2 CE (cita SSTC 179/1985, de 19 de diciembre, FJ 2; 214/1989, de 21 de diciembre, FFJJ 4 y 6; 103/2013, de 25 de abril, FJ 4, y 143/2013, de 11 de julio, FJ 4). La señalada previsión efectúa una remisión al art. 6 EAAst, que reconoce expresamente la personalidad jurídica de las denominadas “parroquias rurales”. El Principado de Asturias ha aprobado en consonancia con esta previsión estatutaria la Ley 11/1986, de 20 de noviembre, por la que se reconoce la personalidad jurídica de la parroquia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el recurso razona primero la inconstitucionalidad del inciso “que carecerán de personalidad jurídica” del nuevo art. 24 bis.1 LBRL. Esta previsión, junto a la introducción del nuevo art. 3.2 y la supresión del art. 45, todos de la Ley de bases de régimen local, supondrían la pérdida de la condición de entidad local con personalidad jurídica propia de las parroquias rurales que se creen a partir de la entrada en vigor de la Ley 27/2013. Se produciría así un “efecto cierre” o desplazamiento de la legislación autonómica. Habría, en particular, la vulneración de las competencias atribuidas al Principado de Asturias (art. 10.2 EAAst), así como la infracción de las normas sobre organización territorial del Estatuto de Autonomía (art. 6.2), que, integradas en el bloque de la constitucionalidad, obligan a las leyes tanto autonómicas como estatales. A su vez, la fijación de regímenes diferenciados para situaciones de hecho semejantes en función de la preexistencia del ente local menor pudiera merecer per se un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24 bis.3 LBRL somete la creación de este tipo de entidades a la condición de que resulte más eficiente que la administración desconcentrada de núcleos de población separados. Tal previsión sería vaga o abierta, admitiendo con ello una pluralidad de desarrollos posibles. A su vez, la sostenibilidad financiera es un requisito que podría entenderse referido al conjunto de la hacienda municipal, no solo a la organización o prestación de determinados servicios. No obstante, al establecerlo, el Estado habría vulnerado las competencias autonómicas al intervenir en un “ámbito de disponibilidad de las Comunidades Autónomas”. A su vez, la eficiencia no es el único valor de relevancia constitucional en la prestación de servicios públicos; las Comunidades Autónomas han de poder atender otros mediante estas estructuras desconcentradas.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transitoria cuarta de la Ley 27/2013. Vulneraría igualmente las competencias autonómicas al prever la disolución de las entidades locales menores que incumplan una obligación de presentación de cuentas. Desconocería que estas organizaciones forman parte del ámbito de disponibilidad de las Comunidades Autónomas. La previsión no hallaría cobertura tampoco en las reglas 13 y 14 del art. 149.1 CE; la supresión de estas entidades no comporta necesariamente una mejora de la eficiencia o sostenibilidad de la estructura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sexta de la Ley 27/2013, conforme a la que “las previsiones de esta Ley se aplicarán respetando la organización comarcal en aquellas Comunidades Autónomas cuyos estatutos de autonomía tenga atribuida expresamente la gestión de servicios supramunicipales”. Según el art. 42.1 LBRL, las Comunidades Autónomas pueden, en función de sus concretas atribuciones, constituir comarcas para la prestación de servicios de carácter supramunicipal. La disposición controvertida vendría a impedir que ello sea posible si no está expresamente previsto en el Estatuto de Autonomía de la Comunidad Autónoma. Quedaría salvaguardada la organización comarcal desarrollada efectivamente en las Comunidades Autónomas, pero no por ello el Estado habría dejado de desbordar el art. 149.1.18 CE. Habría vulnerado, en particular, las competencias estatutarias del Principado de Asturias. Conforme al art. 6 EAAst, esta Comunidad Autónoma se organiza territorialmente en municipios y comarcas. A su vez, en el marco de la competencia autonómica de desarrollo del régimen local (art. 10.1.2 EAAst), se ha regulado por ley el procedimiento de creación de comarcas en el Principado de Asturias (Ley 3/1986). Tal legislación no ha sido desarrollada. No podría serlo ya en modo alguno como consecuencia de la disposición adicional controvertida, que habría desconocido que este tipo de entidades “entran en cuanto a su propia existencia en el ámbito de disponibilidad de las Comunidades Autónomas que dispongan de la correspondiente competencia” por tratarse de entidades que cuentan con “un fuerte grado de ‘interiorización’ por lo que, en la determinación de sus niveles competenciales, el Estado no puede sino quedar al margen” (STC 214/1989, de 21 de diciembre). La previsión impugnada sería, pues, contraria a los arts. 6.1, 10.1.2 y 11.10 EAAst, así como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26.2 LBRL, en la redacción dada por el art. 1.9 de la Ley 27/2013, que atribuye facultades de coordinación a la diputación provincial respecto de determinados servicios municipales. Vulneraría las competencias estatutarias del Principado de Asturias (art. 11.10 EAAst), en cuanto Comunidad Autónoma que se subroga en la posición de la diputación, sin suprimirla (STC 32/1981, de 28 de julio, FJ 3). Tal vulneración resultaría del sometimiento del plan provincial a la aprobación del Ministerio de Hacienda y Administraciones Públicas; se instauraría con ello un control sobre la actividad autonómica no tipificado en la Constitución o el Estatuto de Autonomía. Habría vulneración de los principios de subsidiaridad y proximidad en la prestación del servicio, teniendo en cuenta la ausencia de pruebas en cuanto a que la atribución de la gestión de aquellos servicios a la Diputación comporte mejoras en términos de eficacia, eficiencia o sostenibilidad. A su vez, se habrían atribuido competencias a Principado de Asturias sin previsión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disposiciones transitorias primera a tercera de la Ley 27/2013, relativas a servicios que vienen prestando los entes locales en materia de salud (disposición transitoria primera), servicios sociales (disposición transitoria segunda) y servicios de inspección sanitaria (disposición transitoria tercera). La Ley 27/2013 atribuye ahora estas competencias y su ejercicio a las Comunidades Autónomas. Bajo determinadas condiciones o con sujeción a plazos de implantación (salud y servicios sociales), el Estado estaría utilizando una simple ley básica (ordinaria) para atribuir competencias a las Comunidades Autónomas. La Ley 27/2013 habría desconocido que las leyes básicas no pueden atribuir competencias a las Comunidades Autónomas, que las competencias autonómicas son las previstas en los Estatutos y que una ampliación extraestatutaria solo puede canalizarse en el marco del art. 150.2 CE. Vulnerarían por ello los arts. 149.1.18 y 150.2 CE, así como las competencias del Principado de Asturias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132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5 de junio de 2014, el Presidente del Congreso de los Diputados comunica el acuerdo de la Mesa de la Cámara de personarse en el proceso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escrito incluye una serie de consideraciones destinada a contextualizar la Ley 27/2013. Describe ampliamente el marco normativo europeo y nacional relativo a la estabilidad presupuestaria y a la sostenibilidad financiera. A la vista del art.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económicos, el Abogado del Estado se detiene en la incorporación de la exigencia de estabilidad presupuestaria en la Constitución (reforma del art.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de estabilidad presupuestaria y sostenibilidad financiera desarrolla el art. 135 CE 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proviene del plan nacional de reformas 2013 remitido por el Consejo de Ministros a la Unión Europea, que pretende perseverar en la corrección de los desequilibrios presupuestarios y sentar las bases de la recuperación económica y de la creación de empleo. La Ley 27/2013 no es desarrollo estricto del nuevo art.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14 y 13 del art.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 137 CE, por un lado, y del art. 149.1.18 CE, por otro, no son coextensos” (SSTC 11/1999, de 11 de febrero, FJ 2, y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149.1.14 CE, sobre hacienda general, cubriría específicamente la normativa estatal sobre las instituciones comunes a las distintas haciendas, la coordinación entre las haciendas estatal y locales y garantía de la suficiencia financiera de los entes locales prevista en el art. 137 CE (STC 233/1999, de 16 de diciembre, FJ 4, y las Sentencias que allí se citan). La estrecha vinculación entre el régimen local y la hacienda local justificaría que la Ley 27/2013 cite conjuntamente ambos títulos, tal como ha admitido la doctrina constitucional (STC 233/1999), sin perjuicio de que varias de sus disposiciones serían directamente incardinables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no cita específicamente el art. 149.1.13 CE, sobre ordenación general de la economía, pero, en realidad, sería el “título fundamental” que la habilita. La reforma no desarrolla estrictamente el nuevo art. 135 CE, pero se justifica primariamente en sus principios de estabilidad presupuestaria y sostenibilidad financiera. Trata, en particular, de ajustar el régimen jurídico básico de los entes locales a Ley Orgánica de estabilidad presupuestaria y sostenibilidad financiera.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 13, 14 y 18 del art. 149.1 CE (STC 134/2011, de 20 de julio); ahora está directamente habilitada por el art. 135 CE (STC 157/2011, de 18 de octubre, y otras). Por lo mismo, la Ley 27/2013 se apoyaría ahora de modo fundamental, dado el nuevo contexto constitucional, en el art.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que atraviesa el euro se habría hecho eco el Tribunal Constitucional (AATC 95/2011, de 21 de junio, FJ 5; 96/2911, de 21 de junio, FJ 5; 108/2011, de 5 de julio, FJ 5; 147/2012, de 16 de julio, FJ 6, y 160/2011,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y 141 CE). Tal garantía habría resultado “modalizada” por aquellos objetivos que, en consonancia con la política financiera de la Unión Europea, ha acogido el legislador constitucional; objetivos que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sintetiza la doctrina constitucional relativa a los límites de la autonomía financiera de las Comunidades Autónomas. Esa autonomía (arts. 2 y 137 CE) es una vertiente de la autonomía política, entendida como capacidad de elaborar políticas propias. Supone la plena disponibilidad de los ingresos sin condicionamientos indebidos. No obstante, tal autonomía no se establece constitucionalmente con carácter absoluto (STC 134/2011, FJ 8). El ejercicio de las competencias autonómicas de carácter financiero debe estar presidido por las directrices de cooperación y coordinación. A su vez, el Estado está legitimado para dictar legislación de estabilidad presupuestaria limitadora de la capacidad financiera y presupuestaria de las Comunidades Autónomas. Puede establecer, no solo límites presupuestarios en materia concretas, sino también topes generales a los propios presupuestos; la sujeción de las Comunidades Autónomas al principio de estabilidad presupuestaria es constitucionalmente legítima (STC 134/2011, FFJJ 7 y 8). El Estado es garante del “equilibrio económico general” y competente para “conseguir estabilidad económica, interna y externa” (STC 62/2001, FJ 4 y otras). En relación con los planes de saneamiento y control, son legítimos “los controles que resulte necesario ejercer para garantizar el cumplimiento de las facultades emanadas de las potestades de coordinación” (STC 134/2011, FFJJ 9-11). No es un control indebido la autorización estatal para que las Comunidades Autónomas puedan concertar operaciones de crédito en el extranjero, para emitir deuda pública o cualquier otra apelación al crédito público [STC 134/2011, FJ 8 e)]. A la vista de esta doctrina, resultaría innegable que la Ley Orgánica de estabilidad presupuestaria y sostenibilidad financiera es perfectamente 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a las impugnaciones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24 bis LBRL, introducido por el art. 1.7 de la Ley 27/2013, el Abogado del Estado cita doctrina constitucional para defender que la autonomía local (STC 214/1989) y las competencias autonómicas (STC 179/1985) no impiden una regulación básica ex art. 149.1.18 CE sobre entidades locales de segundo grado, sin perjuicio de que tal regulación deba ponderar los intereses locales y tener en cuenta que la decisión concreta de creación o supresión corresponde a las Comunidades Autónomas (SSTC 121/2012, de 5 de junio, 159/2001, de 5 de julio). La Ley 27/2013 se movería dentro de estos contornos: no supone creación ni extinción de las entidades inframunicipales; no altera su régimen competencial; establece su regulación por remisión a la que adopten las Comunidades Autónomas; conserva todas las entidades existentes (disposiciones transitorias cuarta y quinta de la Ley 27/2013), imponiendo solo una carga para la conservación de su personalidad jurídica (la remisión de las cuentas al órgano competente); aunque hurta de personalidad jurídica a las de nueva creación, no impone su desaparición, teniendo en cuenta que se trata de entidades que, según la doctrina constitucional, aun con personalidad jurídica, forman parte del municipio, que actuaría en régimen de descentralización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transitoria cuarta de la Ley 27/2013 no suprimiría las entidades inframunicipales existentes; impondría solo una carga: la remisión de las cuentas al órgano competente. El art. 149.1.14 CE habilita esta regulación, habida cuenta de que permite al Estado disciplinar las instituciones comunes a las distintas haciendas y las medidas para su coordinación y para subvenir a su suficiencia (STC 130/2013, FJ 4). La Comunidad Autónoma puede optar por conservarla como ente desconcentrado, asimilándola a las de nueva creación conforme al régimen diseñado en el art.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nada alega respecto de la impugnación de la disposición adicional sexta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26.2 LBRL, en la redacción dada por el art. 1.9 de la Ley 27/2013, no vulneraría las competencias del Principado de Asturias. Este Principado no puede resguardarse en su condición de Comunidad Autónoma para desatender las funciones que corresponden a las provincias, que quedan absorbidas y embebidas por la organización autonómica, pero no eliminadas, borradas o difuminadas. Por tanto, tal naturaleza no le autoriza para desentenderse de la legislación básica que el Estado promulga legítimamente en ejercicio de sus competencias. El recurso utilizaría argumentos contradictorios al defender la garantía institucional de la provincial frente al legislador estatal y al propio tiempo negar virtualidad a la coordinación de servicios, que es función propia y primigenia de la provincia, con invocación de la condición de Comunidad Autónoma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 amplio margen de configuración (SSTC 240/2006, 157/2011, 121/2012 y 108/2013) y en consonancia con la honda tradición de la provincia dentro del ordenamiento español (sucintamente resumida), ha optado por revitalizarla para la consecución de fines constitucionales (eficacia, eficiencia y estabilidad presupuestaria); favorece la gestión coordinada en detrimento de la gestión municipal aislada porque ello permite aplicar economías de escala y realizar una más eficiente asignación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persigue la mayor calidad de los servicios al menor costo posible mediante cuatro elementos. En primer lugar, la gestión coordinada está prevista para municipios de menos de 20.000 habitantes en el entendido de que los de mayor población disponen de una organización e ingresos que permiten la prestación eficiente de los servicios públicos. En segundo lugar, tal gestión se aplica a servicios concretos, tasados y predeterminados. Se trata de servicios que, por su configuración y naturaleza, admiten una eficaz prestación desde una perspectiva supramunicipal. La prestación coordinada de un máximo de seis servicios en modo alguno puede suponer un desapoderamiento de las competencias municipales. En tercer lugar, el criterio determinante de la aplicación de estas fórmulas de cooperación es el “coste efectivo”, como elemento objetivo, ponderable, fácilmente calculable y cierto de acuerdo con el art. 116 ter LBRL. En cuarto lugar, el legislador básico ha desarrollado el principio constitucional de coordinación (art. 103.1 CE) como técnica de acomodación de competencias en un Estado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el Abogado del Estado destaca que el art. 26.2 LBRL presupone y activa la intervención de tres Administraciones territoriales. En primer lugar, hay la intervención decisiva del propio municipio. El mecanismo solo actúa con su previo consentimiento y siempre de modo reversible; el municipio puede recuperar después la gestión aislada si acredita que está supondrá un menor coste efectivo. De modo que conservaría la facultad de “adherirse” o “descolgarse” de esta forma de coordinación por lo que su autonomía en nada resultaría afectada. En segundo lugar, hay la intervención de la Administración general del Estado; su competencia en materia de hacienda general y bases del régimen local se concreta aquí en la aprobación de la propuesta de la diputación, configurada como control de estricta legalidad que atiende exclusivamente al cumplimiento del criterio de suficiencia financiera precisado en el art. 7 de la Ley Orgánica de estabilidad presupuestaria y sostenibilidad financiera. Hay también el informe preceptivo de la Comunidad Autónoma que ostenta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disposiciones transitorias primera a tercera serían consecuencia de la nueva ordenación de las competencias propias de los entes locales. El legislador básico, por razones de racionalización y sostenibilidad financiera, estima que los entes locales no deben ejercer determinadas competencias. Tales disposiciones se limitan a suprimir de las competencias propias de los entes locales funciones en materias que estaban configuradas como tales en la anterior redacción del art. 25.2 LBRL. Esto no significa que el Estado haya atribuido la titularidad de estas funciones a las Comunidades Autónomas. Tales funciones (sobre servicios sociales, educación, asistencia sanitaria e inspección de sanidad) están ya estatutariamente atribuidas a las Comunidades Autónomas. Estas están llamadas a ejercer las funciones que les corresponden, que hasta ahora la legislación básica estatal había atribuido a las entidades locales. La Ley se limita a aplicar el régimen constitucional de distribución de competencias sin innovación alguna. La alternativa de que el Estado asumiera tales competencias sí sería inconstitucional. Por otra parte, la atribución de estas funciones se halla supeditada claramente en cada caso a lo que prevean las normas de financiación autonómica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octubre de 2016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del Servicio Jurídico del Principado de Asturias, en representación del Consejo de Gobierno de la Comunidad Autónoma, interpone recurso de inconstitucionalidad contra varios preceptos de la Ley 27/2013, de 27 de diciembre, de racionalización y sostenibilidad de la Administración local por vulneración, en resumen, del orden constitucional de distribución de competencias y del Estatuto de Autonomía para Asturias (EAAst). El Abogado del Estado se opone al recurso, razonando que las previsiones impugnadas se ajustan a la Constitución y al Estatuto de Autonomía para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18/2015, de 9 de julio, ha modificado la disposición transitoria séptima de la Ley 27/2013, que no ha sido impugnada en este proceso constitucional. En consecuencia, la reforma no ha afectado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las SSTC 41/2016, de 3 de marzo (“BOE” núm. 85, de 8 abril de 2016), y 111/2016, de 9 junio (“BOE” núm. 170, de 15 de julio de 2016), resolutorias de los recursos de inconstitucionalidad interpuestos, respectivamente, por la Asamblea de Extremadura (núm. 1792-2014) y la Junta de Andalucía (núm. 1959-2014).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previsiones que aquellas Sentencias han declarado ya inconstitucionales y nulas: las disposiciones transitorias primera, segunda y tercera, así como la cuarta.3, en cuanto al inciso “Decreto del órgano de gobierno de”, todas de la Ley 27/2013 [STC 41/2016, FFJJ 7 c) y 13]. También los siguientes incisos del art. 26.2 de la Ley 7/1985, de 2 de abril, reguladora de las bases del régimen local (LBRL), en la redacción dada por el art. 1.9 de la Ley 27/2013: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[STC 111/2016, FJ 12 d)]. De acuerdo con la consolidada doctrina constitucional [entre otras, STC 139/2011, de 14 de septiembre, FJ 3 b)], la expulsión del ordenamiento jurídico de estas previsiones determina la pérdida sobrevenida de objeto del presente recurso de inconstitucionalidad, en lo que se refiere a las impugnaciones dirigidas contra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Aquellos recursos de inconstitucionalidad y el presente suscitan controversias competenciales similares, en términos generales, por lo que la doctrina de las SSTC 41/2016 y 111/2016 sirve para responder a las impugnaciones aún subsistentes del recurso interpuesto por el Gobierno asturiano. De acuerdo con una pauta no infrecuente (por ejemplo, SSTC 138/2013, de 6 de junio, FJ 1, y 28/2016, de 18 de febrero, FJ 2), cabe dar aquí por reproducidos los fundamentos jurídicos que la STC 41/2016 dedica a la presentación de la Ley 27/2013 (FFJJ 2 y 10) y al encuadramiento de la controversia competencial (FFJJ 3 y 4), así como al significado de la garantía constitucional de la autonomía local (arts. 137, 140 y 141 CE) y al alcance de las bases del régimen local (art. 149.1.18 CE), singularmente en lo relativo a la organización y las competencias locales (FFJJ 5 y 9). También los fundamentos jurídicos de la STC 111/2016 relativos a las competencias provinciales (FFJJ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SSTC 41/2016 y 111/2016 han desestimado impugnaciones formuladas entonces por la Asamblea de Extremadura y la Junta de Andalucía que el presente recurso plantea en términos análogos; se refieren al mismo precepto y se basan en los mismos motivos. Es el caso del apartado 3 del art. 24 bis LBRL (introducido por el art. 1.7 de la Ley 27/2013) y de la disposición transitoria cuarta de la Ley 27/2013, a los que también este recurso imputa una extralimitación de la competencia que el art. 149.1.18 CE atribuye al Estado con vulneración correlativa de las competencias autonómicas sobre régimen local. A la vista de esta coincidencia objetiva, de acuerdo con la doctrina constitucional (STC 172/1998, de 23 de julio, FJ 2) y siguiendo la pauta de la STC 111/2016, FJ 2 c), procede desestimar estas impugnaciones por remisión a la STC 41/2016, FJ 7 b) y c), salvo en el extremo respecto del que se aprecia la pérdida sobrevenida de objeto —el inciso de la disposición transitoria cuarta.3 de la Ley 27/2013 anulado por la STC 41/2016,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igualmente desestimar por remisión un motivo de inconstitucionalidad dirigido contra el art. 24 bis.1, en la redacción dada por el art. 1.7 de la Ley 27/2013 [STC 41/2016, FJ 7 b)]. No obstante, según razonaremos con detenimiento después, el Letrado del Servicio Jurídico del Principado de Asturias, al formular esta impugnación, ha añadido otro motivo que requerirá la correspondiente respuesta. Del mismo modo, el presente recurso, al igual que el formulado en su día por la Junta de Andalucía, plantea la impugnación de los extremos todavía subsistentes del nuevo art. 26.2 LBRL, pero basándola en diferentes razones. Por tanto, no cabe la resolución por remisión. A su vez, se recurre ahora por vez primera la disposición adicional sexta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de Gobierno del Principado de Asturias impugna el apartado 1 del 24 bis LBRL, introducido por el art. 1.7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24 bis.1 LBRL establece un determinado régimen para los entes de ámbito inframunicipal creados a partir de la entrada en vigor de la reforma (o, más precisamente, los que no estuvieran en proceso de constitución antes del 1 de enero de 2013: disposición transitoria quinta de la Ley 27/2013). En particular, configura estas organizaciones como entes desconcentrados del municipio sin el carácter de entidad local y sin personalidad jurídica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de inconstitucionalidad, el art. 24 bis.1 LBRL plantea dos órdenes de problemas. En primer lugar, refiriéndose a organizaciones locales que entran dentro del ámbito de disponibilidad de las Comunidades Autónomas, no hallaría cobertura en el art. 149.1.18 CE, vulnerando en consecuencia las competencias del Principado de Asturias. En segundo lugar, vulneraría una norma material sobre organización territorial autonómica incluida en el Estatuto de Autonomía para Asturias: el art. 6.1, que reconoce expresamente la personalidad jurídica de las denominadas “parroquias rurales”. El recurrente considera que el legislador básico estatal está obligado a respetar el Derecho local estatutario; no habiéndolo hecho en este caso, debería declararse la inconstitucionalidad y nulidad del inciso “que carecerán de personalidad jurídica” del art. 24 bis, apartado 1,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impugnación fue ya abordada en la STC 41/2016, que la desestimó, afirmando el carácter de legislación básica en virtud del art. 149.1.18 CE de la previsión recurrida. Corresponde, pues, volver a desestimarla ahora por remisión al fundamento jurídico 7 b) de esa Sentencia, según acabamos de razonar.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problema de constitucionalidad ha sido planteado por vez primera en este recurso, por lo que habremos de resolverlo específicamente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un lado, el “Estatuto, en tanto que ‘norma institucional básica’ (art. 147.1 CE), puede contener las ‘líneas fundamentales o la regulación esencial’ del régimen local en el ámbito territorial la Comunidad Autónoma’” [SSTC 41/2016, FJ 3 a); 31/2010, de 28 de junio, FFJJ 36 y 37, y 103/2013, de 25 de abril, FJ 4]; también la STC 132/2012, de 19 de junio, FJ 3, en relación con el “régimen esencial de la organización de los consejos insulares” incluido en el Estatuto de Autonomía de les Illes Balears. Por otro lado, la legislación básica puede, en cuanto tal, establecer un “denominador común normativo” [entre otras, STC 141/2014, de 11 de septiembre, FJ 8 a)], en este caso en materia de régimen local en virtud del art. 149.1.18 CE (STC 214/1989, de 21 de septiembre, FJ 1). Bajo esta perspectiva, puede concebirse el art. 6.1 EAAst, en una primera aproximación, como una línea fundamental o regulación esencial del régimen local del Principado de Asturias; y el art. 24 bis LBRL, como una norma formal y materialmente básica adoptada para ser aplicada en todas las Comunidades Autónomas [sobre esto último: STC 41/2016,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han establecido regulaciones radicalmente inconciliables: si el art. 6.1 EAAst garantiza la personalidad jurídica a los entes locales menores del Principado de Asturias (denominados “parroquias rurales”), el art. 24 bis LBRL se la niega a los de todas las Comunidades Autónomas, incluidos los del Principado de Asturias, configurándolos como organizaciones municipales desconcentradas. De modo que, como consecuencia de la Ley 27/2013, se ha producido una contradicción sobrevenida entre la legislación básica estatal —dictada legítimamente al amparo del art. 149.1.18 CE como mínimo común denominador normativo— y una norma estatutaria —que venía expresando una línea fundamental del régimen local de una concreta Comunidad Autónoma (art. 147.1 CE), coincidente, por lo demás, con la directriz básica aplicada hasta ahora en todo el territorio nacional (art. 45 LBRL, derogado por el art. 1.14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el Estatuto puede contener las líneas fundamentales del régimen local en el ámbito territorial la Comunidad Autónoma, “pero solo con el fin de ‘vincular al legislador autonómico’ y respetando ‘en todo caso la competencia básica que al Estado corresponde en la materia en virtud de la reserva del art. 149.1.18 CE, por cuanto la expresión ‘bases del régimen jurídico de las Administraciones públicas’ engloba a las Administraciones locales’” [SSTC 41/2016, FJ 3 a); 31/2010, FFJJ 36 y 37, y 103/2013, FJ 4]. De modo que el Derecho local estatutario no puede vincular al legislador estatal del régimen local ni “impedir de ninguna manera el ejercicio de esa competencia estatal” (STC 31/2010, FJ 37). Al contrario, es este el que debe respetar “en todo caso la competencia básica que al Estado corresponde”. Consecuentemente, una norma estatutaria de régimen local no puede funcionar como límite al ejercicio de la competencia constitucionalmente atribuida al Estado en esta materia (art. 149.1.18 CE). No puede imposibilitar que este reforme las bases —en este caso para negar el atributo de la personalidad jurídica a los entes de ámbito inframunicipal— ni suponer que las nuevas bases dejen de operar como mínimo común normativo, esto es, que sean inaplicables en una Comunidad Autónoma por virtud del Derecho local incluido en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31/2010 descartó que pudiera estimarse que el capítulo IV, “El Gobierno Local”, del título II, del Estatuto de Autonomía de Cataluña (en la redacción dada por la Ley Orgánica 6/2006, de 19 de julio), “transgreda la reserva estatutaria ex art. 147.2 CE, ni que impida el ejercicio de la competencia estatal en la materia”; una regulación estatutaria de “líneas fundamentales” del régimen local autonómico puede adoptarse “con el fin de vincular al legislador autonómico” y respetando “en todo caso”, “como es obvio”, “la competencia básica que al Estado corresponde en la materia” (FJ 36). Señaló, en particular, que el art. 84.2 del Estatuto de Autonomía de Cataluña (que enumera materias sobre las que los “gobiernos locales” han de tener en todo caso competencias propias) constituye una previsión estatutaria que, en cuanto tal, está exclusivamente “dirigida al legislador autonómico”, descartando que “desplace o impida el ejercicio de la competencia estatal en materia de bases de régimen local ex art. 149.1.18 CE”; la “falta de expresa mención en el precepto estatutario a la competencia estatal ex art. 149.1.18 CE ni vicia dicho precepto de inconstitucionalidad, ni puede impedir de ninguna manera el ejercicio de esa competencia estatal” (FJ 37). No se producía entonces la evidente contradicción que concurre en el presente caso entre legislaciones básica y estatutaria, por lo que podía afirmarse lo siguiente: “el elenco competencial que el precepto estatutario dispone que tiene que corresponder a los gobiernos locales en modo alguno sustituye ni desplaza, sino que, en su caso, se superpone, a los principios o bases que dicte el Estado sobre las competencias locales en el ejercicio de la competencia constitucionalmente reservada por el art. 149.1.18 CE” (FJ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41/2016 volvió sobre esta doctrina al resolver la impugnación dirigida contra el nuevo régimen básico de las competencias municipales (arts. 7.4 y 25 LBRL, en la redacción dada por los apartados 3 y 8 del art. 1 de la Ley 27/2013). Según el recurso de la Asamblea de Extremadura, tal régimen incurriría en inconstitucionalidad por cercenar las atribuciones garantizadas a los municipios en algunos Estatutos de Autonomía. Frente a ello, la indicada Sentencia declaró: “por otra parte, es verdad que, tal como destaca el recurso de inconstitucionalidad, el Estatuto de Autonomía, en tanto que ‘norma institucional básica’ (art. 147.1 CE), puede contener las ‘líneas fundamentales o la regulación esencial’ del régimen local en el ámbito territorial la Comunidad Autónoma. Ahora bien, también hemos dicho que esa regulación esencial vincula solo al legislador autonómico y únicamente en la medida en que no contradiga el régimen dictado en ejercicio de ‘la competencia básica que al Estado corresponde en la materia en virtud de la reserva del art. 149.1.18 CE’ (SSTC 31/2010, de 28 de junio, FJ 36, y 103/2013,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concluir que el inciso impugnado no ha incurrido en inconstitucionalidad por negar el atributo de la personalidad jurídica a los entes de ámbito inframunicipal, resultando plenamente aplicable en el ámbito territorial del Principado de Asturias. No obstante, no está de más recordar que “la sola previsión de que estos entes carecen de personalidad jurídica no elimina amplios espacios de desarrollo autonómico y autoorganización local. La personalidad jurídica propia o régimen de descentralización administrativa no implica un estatuto sustancialmente distinto, que garantice amplias esferas de autonomía a las entidades locales menores… Ciertamente, la ausencia de personalidad jurídica propia remite al sistema de imputación y control de actos característico de las relaciones interorgánicas. No obstante, las concretas tareas que correspondan a estas ‘formas de organización desconcentrada’ así como las facultades de control y supervisión que el municipio desarrolle respecto de ellas siguen dependiendo esencialmente de las opciones organizativas que adopten los propios entes locales en el marco de la legislación autonómica sobre régimen local y de las bases ex art. 149.1.18 CE” [STC 41/2016,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apartado 1 del art. 24 bis LBRL, introducido por el art. 1.7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Servicio Jurídico del Principado de Asturias impugna la disposición adicional sexta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esta disposición, “las previsiones de esta Ley se aplicarán respetando la organización comarcal en aquellas Comunidades Autónomas cuyos estatutos de autonomía tenga atribuida expresamente la gestión de servicios supramunicipales”.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la disposición adicional sexta de la Ley 27/2013 vendría a impedir que las Comunidades Autónomas instauren una organización comarcal si esta no está expresamente prevista en su Estatuto de Autonomía como ámbito de gestión supramunicipal. El Estado habría vulnerado con ello las competencias estatutarias del Principado de Asturias (art. 10.1.2 EAAst). Se insiste en que, dentro del marco de sus atribuciones, esta Comunidad Autónoma ha regulado por ley el procedimiento de creación de comarcas (Ley 3/1986). Tal legislación no ha sido desarrollada, pero, según el Letrado autonómico, no podrá serlo ya en modo alguno como consecuencia de la disposición adicional controvertida, que habría desconocido que estas entidades “entran en cuanto a su propia existencia en el ámbito de disponibilidad de las Comunidades Autónomas que dispongan de la correspondiente competencia” por tratarse de entidades que cuentan con “un fuerte grado de ‘interiorización’ por lo que, en la determinación de sus niveles competenciales, el Estado no puede sino quedar al margen” [STC 214/1989, FFJJ 4 b) y 15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Solo en algunas Comunidades Autónomas se han desarrollado procesos de autoorganización territorial traducidos en la instauración efectiva de entidades locales intermedias, de segundo grado o de ámbito supramunicipal. Es el caso de las comarcas de Aragón y Cataluña, las comarcas o cuadrillas del territorio histórico de Álava y la comarca castellanoleonesa de El Bierzo. La disposición adicional sexta de la Ley 27/2013, a fin de aislar cuáles son las “organizaciones comarcales” que deben necesariamente “respetarse” en la aplicación de la Ley, toma como referencia, no si la comarca está efectivamente implantada, sino si está estatutariamente prevista como nivel de gestión supramunicipal. Para determinar el significado y alcance de este criterio y, en términos generales, del conjunto de la disposición, hay que realizar tres acotaciones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indicada disposición afecta claramente a la Comunidad Autónoma de Aragón, habida cuenta de que su Estatuto establece expresamente lo siguiente: “las comarcas tienen a su cargo la prestación de funciones y servicios y la gestión de actividades de ámbito supramunicipal, representando los intereses de la población y territorio comarcales en defensa de una mayor solidaridad y equilibrio territorial” (artículo 83.2). Consecuentemente, hay que entender, de acuerdo con la disposición impugnada, que las previsiones de la Ley 27/2013 “se aplicarán respetando la organización comarcal”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demás Estatutos de Autonomía no contienen previsiones con este preciso tenor, pero muchos hacen referencia a la comarca como entidad local, estableciéndola directamente como peldaño de la organización territorial o, en todo caso, permitiendo que la legislación autonómica la configure como ámbito de gestión supramunicipal. Así, los adoptados para Andalucía (artículo 97), Cantabria (artículo 2.3), Castilla-La Mancha [artículo 29.2 a)], Castilla y León (artículo 46), Cataluña (artículos 2.3 y 92), Comunidad Valenciana (artículo 65.2), Extremadura (artículo 57), La Rioja (artículo 5.2), Principado de Asturias (artículo 6.1) y Región de Murcia (artículo 3.2). Otros Estatutos no emplean la denominación, pero admiten expresamente la posibilidad de entidades locales supramunicipales: Comunidad de Madrid (artículo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Estatutos, al establecer (o prever la posibilidad de) un nivel local intermedio —supramunicipal e infraprovincial—, están claramente estableciendo (o previendo) que ese nivel pueda llevar a cabo una “gestión de servicios supramunicipales”. Consecuentemente, cabe interpretar que la disposición adicional sexta de la Ley 27/2013 afecta también a estas Comunidades Autónomas, es decir, que las previsiones de la reforma del régimen local “se aplicarán respetando la organización comarcal” de aquellas Comunidades Autónomas que la tengan “expresamente” prevista en sus Estatutos, con independencia de que haya sido o no desarrollada efectivamente. Bajo esta óptica, la disposición adicional sexta de la Ley 27/2013 no impide que el Principado de Asturias decida en el futuro crear comarcas para atribuirles ámbitos de gestión supramunicipal.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no puede perderse de vista que el régimen local no forma parte del contenido necesario del Estatuto de Autonomía (art. 147.2 CE) ni que, si el legislador estatutario optase por incluir dentro de él regulaciones a este respecto, debe limitarlas a unas líneas fundamentales o esenciales [SSTC 31/2010, FFJJ 36 y 37; 103/2013, FJ 4, y 41/2016, FJ 3 a)]. De modo que la organización comarcal, esté o no prevista en los Estatutos, puede ser objeto de legislación estrictamente autonómica. Tal legislación es, precisamente, la que puede establecer una regulación completa de la comarca, no limitada a las líneas fundamentales, aunque, naturalmente, respetando la legislación estatutaria y básica a este respecto, si es que existe. A su vez, hay que tener en cuenta que en este preciso ámbito la competencia básica estatal derivada del art. 149.1.18.ª CE es más estrecha y, por tanto, que la competencia estatutaria de las Comunidades Autónomas es más amplia: “las ‘entidades locales no necesarias o contingentes’, en general, y las de segundo grado (p. ej., comarcas), en particular”, “están dotadas de ‘un fuerte grado de interiorización autonómica’, sin que les alcance directamente la garantía constitucional de la autonomía municipal (art. 140 CE), provincial (art. 141.2 CE) e insular (art. 141.4 CE)”; “entran en cuanto a su propia existencia en el ámbito de disponibilidad de las Comunidades Autónomas que dispongan de la correspondiente competencia” [STC 41/2016, FJ 5, citando la STC 214/1989, FFJJ 4 b) y 15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puede interpretarse que la disposición adicional sexta de la Ley 27/2013 supone que las previsiones de la reforma local de 2013 “se aplicarán respetando” toda “organización comarcal” estatutariamente prevista, sin por ello negar o perjudicar la que, no prevista en los Estatutos, pueda eventualmente llegar a instaurar cualquier Comunidad Autónoma al amparo de su competencia en orden a la creación y regulación de entidades locales de segundo grado. Téngase en cuenta a este respecto que la previsión controvertida está formulada en positivo, como cláusula de salvaguarda de las organizaciones comarcales estatutariamente previstas. No cabe interpretarla en negativo, como fuerte restricción a la autonomía de las Comunidades Autónomas traducida en la imposibilidad de ejercer sus amplias competencias en orden a la regulación y creación de entidades caracterizadas por “un fuerte grado de interiorización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Abona esta interpretación la circunstancia de que la Ley 27/2013 no haya modificado el art. 42 LBRL, conforme al cual “las Comunidades Autónomas, de acuerdo con lo dispuesto en sus respectivos Estatutos, podrán crear en su territorio comarcas u otras Entidades que agrupen varios Municipios, cuyas características determinen intereses comunes precisados de una gestión propia o demanden la prestación de servicios de dicho ámbito” (apartado 1); “las Leyes de las Comunidades Autónomas determinarán el ámbito territorial de las comarcas, la composición y el funcionamiento de sus órganos de gobierno, que serán representativos de los Ayuntamientos que agrupen, así como las competencias y recursos económicos que, en todo caso, se les asignen” (apartado 3); “la creación de las Comarcas no podrá suponer la pérdida por los Municipios de la competencia para prestar los servicios enumerados en el artículo 26, ni privar a los mismos de toda intervención en cada una de las materias enumeradas en el apartado 2 del artículo 25”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ambigüedad de la disposición adicional sexta de la Ley 27/2013 podría dar cabida a la interpretación propuesta por el Letrado del servicio jurídico del Principado de Asturias. No obstante, tal como razona el Letrado autonómico, esa interpretación daría lugar a que el precepto impugnado incurriese en inconstitucionalidad, por lo que debe excluirse en beneficio de la aquí razonada, que compatibiliza la disposición adicional sexta de la Ley 27/2013 con el sistema de distribución competencial. Así lo ha señalado la STC 41/2016, FJ 12 d), respecto de otro precepto de la Ley 27/2013, de acuerdo con una consolidada doctrina sobre las condiciones en que es viable la “interpretación conforme” como regla de prevalencia de unas interpretaciones sobre otras: “el párrafo segundo del art. 36.2 a) LBRL sería contrario a los arts. 137 y 140 CE si fuera interpretado como previsión que atribuye por sí unas facultades de coordinación cuyo concreto alcance hubiera de fijar la propia diputación a través de los correspondientes planes de cooperación. Sin embargo, está interpretación ha de excluirse, habida cuenta de que hay otra que, siendo igualmente razonable, resulta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desestimar la impugnación de la disposición adicional sexta de la Ley 27/2013. La interpretación de conformidad aquí realizada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del Principado de Asturias impugna el art. 26.2 LBRL, en la redacción dada por el art. 1.9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hemos recordado, el art. 26.2 LBRL fue objeto de la STC 111/2016, FJ 12 d), que declaró la inconstitucionalidad y nulidad de sus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Tras esta depuración, el tenor del precepto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municipios con población inferior a 20.000 habitantes será la Diputación provincial o entidad equivalente la que coordinará la prestación de los siguientes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Recogida y tratamiento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Abastecimiento de agua potable a domicilio y evacuación y tratamiento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Limpieza 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Acceso a los núcleos de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Pavimentación de vías urbanas.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Alumbrado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coordinar la citada prestación de servicios la Diputación propondrá, con la conformidad de los municipios afectados, la forma de prestación, consistente en la prestación directa por la Diputación o la implantación de fórmulas de gestión compartida a través de consorcios, mancomunidades u otras fórmulas.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municipio justifique ante la Diputación que puede prestar estos servicios con un coste efectivo menor que el derivado de la forma de gestión propuesta por la Diputación provincial o entidad equivalente, el municipio podrá asumir la prestación y coordinación de estos servicios si la Diputación lo considera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Diputación o entidad equivalente asuma la prestación de estos servicios repercutirá a los municipios el coste efectivo del servicio en función de su uso. Si estos servicios estuvieran financiados por tasas y asume su prestación la Diputación o entidad equivalente, será a esta a quien vaya destinada la tasa para la financiación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razona sobre dos órdenes de problemas. En primer lugar, el nuevo art. 26.2 LBRL vulneraría la autonomía política de Principado de Asturias (art. 11.10 EAAst), en cuanto Comunidad Autónoma uniprovincial que se subroga en la posición de la diputación, sin suprimirla (STC 32/1981, de 28 de julio, FJ 3). La razón de ello es que al someter el plan provincial a la aprobación del Ministerio de Hacienda y Administraciones Públicas, habría instaurado un control constitucionalmente imprevisto sobre la actividad de las Comunidades Autónomas uniprovinciales. En segundo lugar, afirma genéricamente que el art. 26.2 LBRL atribuye competencias al Principado de Asturias sin previsión de financiación y con vulneración de los principios de subsidiaridad y proximidad en la prestación del servicio, teniendo en cuenta la ausencia de pruebas en cuanto a que la atribución de la gestión de aquellos servicios a la Diputación comporte mejoras en términos de eficacia, eficiencia o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impugnación ha perdido objeto, según se razona en el fundamento jurídico 2 a) de esta Sentencia; se dirige específicamente a los dos incisos que la STC 111/2016, FJ 12 d) ha declarado inconstitucionales y nulos. No ocurre lo mismo respecto de los otros motivos, que pasamos a abordar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motivos de impugnación subsistentes parten de la premisa de que el nuevo art. 26.2 LBRL, a fin de disminuir los costes efectivos de determinados servicios en municipios de menos de 20 000 habitantes, obliga a las diputaciones (y, con ello, a las Comunidades Autónomas uniprovinciales) a ejercer relevantes competencias, señaladamente la gestión directa de aquellos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 26.2 LBRL se refiere a una variedad muy indefinida de fórmulas de cooperación o “coordinación voluntaria” que puede “proponer” la diputación provincial y aceptar el municipio titular del servicio. Ello implica, correlativamente, que la diputación no tiene la obligación de asumir la gestión de aquellos servicios y que, en todo caso, el municipio puede rechazar las fórmulas de cooperación que aquella pueda proponerle. Así resultaba de su tenor originario y resulta aún más claramente ahora, una vez que la STC 111/2016, FJ 12 d) ha eliminado la intervención del Ministerio de Hacienda y Administraciones Públicas destinada a reducir costes.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indicada Sentencia, tras señalar que la previsión impugnada “llama ‘coordinación’ a fórmulas que la doctrina constitucional denomina ‘colaboración’, ‘cooperación’ o, todo lo más, ‘coordinación voluntaria’”, insiste en que, conforme al art. 26.2 LBRL, el “municipio puede dar o no su conformidad a un plan que condicionará el modo en que ha de gestionar sus servicios”; el “criterio determinante no es el económico, tampoco la decisión de otras Administraciones públicas; es la voluntad municipal misma”; la pérdida de autonomía que, en efecto, puede llegar a sufrir el municipio será en todo caso “consentida” porque se producirá solo eventualmente y únicamente si la acepta el ayuntamiento o, lo que es lo mismo, “con la conformidad de los municipios afectados”. Se añade la precisión siguiente: “hay que hacer notar que la competencia provincial regulada en el art. 26.2 LBRL se corresponde con la sucintamente enunciada en el art. 36.1 h) LBRL, cuyo tenor tampoco arroja dudas sobre el carácter voluntario o consentido de estas fórmulas (llamadas) de coordinación: ‘Cuando la Diputación detecte que estos costes son superiores a los de los servicios coordinados o prestados por ella, ofrecerá a los municipios su colaboración para una gestión coordinada más eficiente de los servicios que permita reducir estos costes’. Por lo demás, conectan directamente con estas fórmulas voluntarias los estímulos financieros previstos en la disposición adicional 15, sobre ‘gestión integrada o coordinada de servicios’, del texto refundido de la Ley de haciendas locales, en la redacción dada por el art. 2.5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pudiendo aceptarse la interpretación del art. 26.2 LBRL (en la redacción dada por el art. 1.9 de la Ley 27/2013) sobre la que el recurso razona la impugnación, no pueden tampoco acogerse los indicados motivos de inconstitucionalidad. Corresponde, en consecuencia, desestimar esta impugnación en los extremos en que subsistía por no estar afectada de pérdida sobrevenida de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 las disposiciones transitorias primera, segunda, tercera y cuarta.3, en cuanto al inciso “Decreto del órgano de gobierno de”, todas de la Ley 27/2013, de 27 de diciembre, de racionalización y sostenibilidad de la Administración local, así como de los siguientes incisos del art. 26.2 de la Ley 7/1985, de 2 de abril, reguladora de las bases del régimen local, en la redacción dada por el art. 1.9 de la Ley 27/2013: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sexta de la Ley 27/2013 no es inconstitucional, interpretada en los términos del fundamento jurídico 4 b)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