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3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noviembre de 2015, el Procurador de los Tribunales don David García Riquelme, en nombre y representación de Estación de Servicio Hermanos Baños, S.L., y don Sabas Baños Costa, interpuso demanda de amparo contra la providencia de la Sala de lo Civil del Tribunal Supremo de 16 de septiembre de 2015, por la que se inadmite el incidente de nulidad de actuaciones interpuesto contra la Sentencia de 3 de abril de 2012 dictada en el recurso de casación núm. 62-2009,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(artículo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23 de febrero de 2016 el Magistrado don Juan Antonio Xiol Ríos comunicó su voluntad de abstenerse en el conocimiento del presente recurso de amparo por entender que concurría la causa 11 del art. 219 de la Ley Orgánica del Poder Judicial (LOPJ) —haber resuelto el pleito o causa en anterior instancia—, ya que había formado parte, en su condición de Magistrado de la Sala de lo Civil del Tribunal Supremo, del órgano judicial que acordó la Sentencia que, con posterioridad ha sido objeto del incidente de nulidad de actuaciones cuya inadmisión es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que con posterioridad ha sido objeto del incidente de nulidad de actuaciones cuya inadmisión es impugnada en el presente recurso de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6269-2015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