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199</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30 de noviembre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15 de junio de 2016, don Antero Aybar de Pablo interpuso recurso de amparo contra el Auto de 19 de febrero de 2016 de la Sección Primera de la Audiencia Provincial de Guadalajara, confirmado por el Auto sucesivo, dictado en súplica, de 9 de marzo de 2016, desestimatorios ambos de la práctica de prueba documental en segunda instancia solicitada por el ahora demandante al recurrir la Sentencia de 5 de diciembre de 2015 del Juzgado de lo Penal de Guadalajara (procedimiento abreviado núm. 296-20159), así como contra el Auto de 6 de mayo de 2016 de la misma Audiencia Provincial, que desestimó el incidente de nulidad de actuaciones formalizado con base en los mismos motivos contra la Sentencia dictada en la apelación, de fecha 16 de marzo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del demandante aduce la vulneración del art. 24.1 CE por parte de las resoluciones judiciales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17 de octubre de 2016, la Sección Cuarta del Tribunal Constitucional acordó inadmitir a trámite el recurso de amparo por no haber concluido el proceso abierto en la vía judicial [arts. 44.1 a) y 50.1 a)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interpuso el 11 de noviembre de 2016 recurso de súplica frente a la providencia de inadmisión. Señala su escrito que el examen de la demanda y de las resoluciones que constituyen su objeto acredita que estamos ante un procedimiento judicial por delito ya acabado en la segunda instancia, en la que incluso se formuló y resolvió un incidente de nulidad de actuaciones contra la Sentencia resolutoria del recurso de apelación. Solicita, en consecuencia, que dejemos sin efecto la providencia de inadmisión de 17 de octubre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16 de noviembre de 2016, se acordó dar traslado al demandante de amparo por el plazo de tres días para que alegara lo que estimara pertinente. El recurrente, mediante escrito de 23 de noviembre de 2016, se adhirió al recurso de súplica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se ha expuesto en los antecedentes, el Ministerio Fiscal recurre en súplica la providencia dictada por esta misma Sección el día 17 de octubre de 2016, por la que se acordó inadmitir a trámite el recurso de amparo al considerarlo prematuro, resultando a su juicio que, en cambio, la vía judicial previa había sido objetivamente agotada a la fecha de interposición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que nuestra función constitucional pueda ser ejercida es preciso que estén agotadas las vías judiciales. Ello es así porque el aseguramiento del carácter subsidiario del recurso de amparo exige que no quede abierto el procedimiento constitucional en tanto no se hayan agotado los recursos utilizados en la vía ordinaria (por todos, ATC 98/2016, de 4 de mayo, FJ único). Como el Ministerio Fiscal afirma, sin embargo, el proceso judicial quedó efectivamente cerrado en este caso con la Sentencia de apelación de 16 de marzo de 2016 y, finalmente, con el Auto de 6 de mayo de 2016 que desestimó el incidente de nulidad de actuaciones formalizado frente 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estimación del recurso de súplica determina que se deje sin efecto la providencia impugnada por el Fiscal, pero sin que ello comporte la admisión a trámite del presente recurso de amparo, sobre la que se resolverá en nueva providencia a dictar al efecto.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dictada el 17 de octubre de 2016, dejando sin efecto la misma y quedando las actuaciones en estado de proveer sobre la admisión a trámite del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