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31 de enero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septiembre de 2016 tuvo entrada en el registro general de este Tribunal un escrito del Juzgado de lo Contencioso-Administrativo núm. 1 de Jerez de la Frontera, al que se acompaña, junto al testimonio del correspondiente procedimiento, Auto de 25 de julio de 2016, recaído en el recurso contencioso-administrativo núm. 802-2015, por el que se acuerda promover ante este Tribunal cuestión de inconstitucionalidad respecto el art. 107 del Real Decreto Legislativo 2/2004, de 5 de marzo, por el que se aprueba el texto refundido de la Ley reguladora de las haciendas locales, por posible vulneración del art.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24 de enero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del precepto legal cuya constitucionalidad se cuestiona en el presente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del precepto legal cuya constitucionalidad se cuestiona en el presente procedimiento, está incurso en la causa 10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la cuestión de inconstitucionalidad núm. 4868-2016 y apartarle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