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11 de julio de 2016 dictada por la Sala de lo Social del Tribunal Supremo en el recurso de casación 193-2015 interpuesto contra la Sentencia de 5 de marzo de 2015 de la Sala de lo Social de la Audiencia Nacional recaída en el procedimiento de demanda sobre impugnación de convenio colectivo de CLH (2010-2015), recurso de amparo que fue registrado con el núm. 5547-2016.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febrero de 2017 el Magistrado don Fernando Valdés Dal Ré comunicó a los efectos oportunos que se abstenía de intervenir en el antes indicado recurso de amparo, de conformidad con el art. 80 de la Ley Orgánica del Tribunal Constitucional, por cuanto se trata de un proceso que hace causa en la impugnación de determinadas estipulaciones del convenio colectivo de CLH (2010-2015) que ya se encontraban incorporadas en anterior norma colectiva (2006-2009) en cuya negociación ostentó el cargo de Presidente de la Mesa.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Fernando Valdés Dal Ré, Magistrado de esta Sala del Tribunal Constitucional, la Sala, en virtud de lo previsto en el art. 219 apartado 13 de la Ley Orgánica del Poder Judicial, supletoria de la Ley Orgánica del Tribunal Constitucional (artículo 80), estima justificada la causa de abstención formulada, puesto que el presente recurso de amparo hace causa en la impugnación de determinadas estipulaciones del convenio colectivo de CLH (2010-2015) que ya se encontraban incorporadas en anterior norma colectiva (2006-2009) en cuya negociación el Magistrado ostentó el cargo de Presidente de la Mesa.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Fernando Valdés Dal Ré en el recurso de amparo núm. 5547-2016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