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25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enero de 2016 tuvo entrada en el registro general de este Tribunal un escrito del Juzgado de lo Contencioso-Administrativo núm. 1 de Vitoria-Gasteiz, al que se acompaña, junto al testimonio del correspondiente procedimiento, Auto de 22 de diciembre de 2015, recaído en el procedimiento abreviado núm. 82-2015, por el que se acuerda promover ante este Tribunal cuestión de inconstitucionalidad respecto de los artículos 1, 4 y 7.4 de la Norma Foral 46/1989, de 19 de julio, del impuesto sobre el incremento de valor de los terrenos de naturaleza urbana del Territorio Histórico de Álava y de los artículos 107 y 110.4 de la Ley de haciendas locales, aprobada por el Real Decreto Legislativo 2/2004, de 5 de marzo, por posible vulneración de los arts. 24 y 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3 de abril de 2017 el Magistrado don Juan Antonio Xiol Ríos comunicó su voluntad de abstenerse en el conocimiento de la presente cuestión de inconstitucionalidad por entender que concurría la causa 10 del art. 219 de la Ley Orgánica del Poder Judicial, porque en la actualidad mantiene pendiente de resolución por parte del Ayuntamiento de Madrid una solicitud de reintegro de ingresos indebidos que trae causa de la aplicación de uno de los preceptos legales cuya constitucionalidad se cuestiona en el presente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al mantener en la actualidad pendiente de resolución por parte del Ayuntamiento de Madrid una solicitud de reintegro de ingresos indebidos que trae causa de la aplicación de uno de los preceptos legales cuya constitucionalidad se cuestiona en el presente procedimiento, está incurso en la causa 10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la cuestión de inconstitucionalidad núm. 232-2016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