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30 de enero de 2017 la procuradora doña Lucia Agulla Lanza en nombre y representación de la entidad pública Enaire (Aeropuertos Españoles y Navegación aérea) presentó en el registro general del Tribunal recurso de amparo contra la Sentencia de la Sala de lo Social del Tribunal Supremo de fecha 16 de noviembre de 2016 dictada en el recurso de casación para unificación de doctrina 3757-2014, interpuesto contra la Sentencia de 2 de septiembre de 2014, dictada por la Sala de lo Social del Tribunal Superior de Justicia de Canarias en el recurso de suplicación núm. 490-2014, que resolvió el formulado contra la Sentencia del Juzgado de lo Social núm. 7 de Las Palmas de Gran Canarias de 13 de noviembre de 2013 recaída en autos núm. 313-2013, recurso de amparo que fue registrado con el núm. 494-2017.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marzo de 2017, registrado el día siguiente, la procuradora Sra. Agulla Lanza, en nombre y representación de la recurrente, desistió del recurso de amparo interpuesto solicitando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9 de marzo de 2017 se dio traslado al Ministerio Fiscal a fin de que formulara alegaciones, lo que hizo por escrito presentado el 22 de marzo de 2017 en el que manifiesta que no ve obstáculo para acceder al desistimiento solicitado poniendo fin al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es una forma de terminación del procedimiento prevista en los artículos 80 y 86 de nuestra Ley Orgánica (LOTC),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Enaire (Aeropuertos Españoles y Navegación Aérea)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