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11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292-2015, promovido por el Consejo de Gobierno de la Junta de Andalucía y, en su representación y defensa por el Letrado de dicha Junta, en relación con los artículos 4, 5, 6 y 7 y el anexo I de la Ley 18/2014, de 15 de octubre, de aprobación de medidas urgentes para el crecimiento, la competitividad y la eficiencia. Ha comparecido y formulado alegaciones el Abogado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enero de 2015, el Letrado de la Junta de Andalucía, en la representación que legalmente ostenta, promueve recurso de inconstitucionalidad contra los artículos 4, 5, 6 y 7 y el anexo I de la Ley 18/2014, de 15 de octubre, de aprobación de medidas urgentes para el crecimiento, la competitividad y la eficiencia.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la demanda pone de manifiesto que la disposición recurrida es fruto de la tramitación como ley del Real Decreto-ley 8/2014, de aprobación de medidas urgentes para el crecimiento, la competitividad y la eficiencia, por lo que, excepto alguna modificación de tipo técnico, la presente ley reproduce el contenido de los artículos 4, 5, 6 y 7 y el anexo I, del Real Decreto-ley 8/2014. En relación con este último, el Consejo de Gobierno de la Junta de Andalucía adoptó en su momento el acuerdo de recurrir los mismos preceptos, con fundamento en la vulneración del artículo 86.1 CE por utilización abusiva de la figura del decreto-ley, así como por vulneración del artículo 149.1.13 y 18 CE. Afirma a este respecto el Letrado autonómico que la pendencia del recurso interpuesto contra el Real Decreto-ley 8/2014 no impide la formulación del presente recurso de inconstitucionalidad contra la Ley 18/2014, pues la doctrina constitucional ha puesto de manifiesto que el análisis de constitucionalidad de la ley aprobada por las Cortes, por la que se convalida un decreto-ley ex artículo 86.3 CE, ha de hacerse mediante la interposición de un nuevo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recurso, considera el escrito de demanda que la regulación que efectúan los preceptos impugnados desborda el concepto de normativa básica e invade las competencias que en materia de desarrollo normativo y ejecución corresponden a la Comunidad Autónoma en materia de comercio, con infracción de lo dispuesto en los artículos 149.1.13 y 149.1.18 CE, y del artículo 58.1.1 del Estatuto de Autonomía para Andalucía. Los motivos de impugnación,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4, 5 y 7 y el anexo I, regulan la declaración de zona de gran afluencia turística, flexibilizando los requisitos para su declaración y las consecuencias de la no declaración por parte de la Comunidad Autónoma en determinados plazos, y estableciendo en el anexo I dos ciudades que directamente reúnen los requisitos para ser declaradas como tales (Jerez y Marbella); los preceptos se reputan inconstitucionales por vulnerar las competencias autonómicas en materia de comercio interior y exceder del título competencial previsto en 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Letrado, con una extensa apelación a lo señalado por la doctrina constitucional en esta materia, que, aun cuando las competencias autonómicas en materia de comercio interior resultan limitadas por las competencias constitucionalmente reconocidas al Estado que inciden sobre la actividad comercial, tanto en lo relativo a los calendarios y horarios comerciales, como en materia de modalidades de venta y formas de prestación de la actividad comercial, al tratarse de una competencia transversal que puede afectar a una multiplicidad de materias, el título genérico del artículo 149.1.13 CE no puede ser utilizado por el Estado en un sentido expansivo que impida esa diversidad; y ello porque, en términos de la jurisprudencia constitucional, el presupuesto de un único orden económico y de un mercado nacional, no excluye la existencia de la diversidad jurídica que resulta del ejercicio por los órganos autonómicos de competencias normativas sobre un sector económico, cuando éstas han sido asumidas en su Estatuto de Autonomía, resultando legítima la diversidad de regímenes en la medida en que las diferencias y peculiaridades introducidas resulten adecuadas a su finalidad y se respete la igualdad básica de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proyección del título competencial estatal sobre la materia en cuestión, la jurisprudencia constitucional ha declarado que la fijación de un régimen de libertad de horarios comerciales para determinados establecimientos y zonas, es una opción que, por su carácter de excepción al régimen general en materia de horarios comerciales, precisa de una decisión unitaria y homogénea para el conjunto del Estado, aunque cuando la misma se haya formulado con carácter abierto, de forma que su plasmación concreta precisa de las decisiones que al efecto adopte la Comunidad Autónoma, en cuanto titular de las competencias sobre comercio interior. El propio Tribunal ha declarado, en relación a la Ley 1/2004, de horarios comerciales, que las normas básicas no pueden ser tan minuciosas o exhaustivas que no dejen espacio alguno a las competencias autonómicas en esta materia, y permitan que cada Comunidad Autónoma pueda establecer sistemas singularizados en materia de horario de apertura de los establecimientos comerciales. Considera el Letrado que, en el caso que nos ocupa, tales limitaciones a la competencia estatal se transgreden, y ello porque, tras la conformación de un plazo para que las Comunidades Autónomas resuelvan y notifiquen, prevé que, transcurrido el mismo, no se entenderá realizada la declaración de zona de gran afluencia turística, sino que además ésta se extenderá a todo el municipio, con lo que es el Estado el que directamente actuaría, en contra de las reseñada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motivos de impugnación del artículo 6, señala el letrado que, además de los esgrimidos en relación al resto del articulado, no existe justificación constitucional suficiente para la emanación de esta norma básica, pues las bases se encuentran ya en la Directiva 2006/123/CE, de 12 de diciembre de 2006, del Parlamento Europeo y del Consejo, relativa a los servicios en el mercado interior. Por lo tanto, lo que se realiza es una alteración en la relación jurídica entre una Directiva europea (la Directiva de Servicios) y la entidad político-administrativa competente en materia de comercio interior, para transponer la Directiva, que es la Junta de Andalucía. Así lo hizo a través de la Ley 3/2010, de 21 de mayo, por la que se modificaban diversas leyes para la transposición en Andalucía de la mencionada Directiva. Añade el letrado que competencias transversales como las del artículo 149.1.13 y artículo 149.1.18 CE no deben utilizarse de forma adjetiva cuando ya las bases han sido establecidas por una Directiva del Parlamento Europeo y del Consejo, pues de esta manera lo que se consigue es distorsionar el mecanismo competencial de transposición de directivas europeas, que no se atribuye monopolísticamente al Estado sino a la entidad político-administrativa con competencias sustantivas y directas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17 de febrero de 2015, el Pleno, a propuesta de la Sección Tercera,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15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24 de febrero de 2015, el Abogado del Estado, en la representación que legalmente ostenta, se personó en el referido recurso y solicitó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25 de febrero siguiente, el Pleno acordó tener por personado al Abogado del Estado, en la representación que legalmente ostenta y prorrogar en ocho días el plazo concedido,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Mesa del Congreso de los Diputados, por escrito de su Presidente de 25 de febrero de 2015, acuerda dar por personada a la Cámara en este procedimiento y por ofrecida su colaboración a los efectos del artículo 88.1 LOTC. En idéntico sentido se pronuncia la Mesa del Senado, en escrito de su Presidente, registrado en fecha 4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24 de marzo de 2015 tiene entrada en el registro general de este Tribunal el escrito de alegaciones que formula el Abogado del Estado, en la representación que legalmente ostenta, en el que solicita la desestimación íntegra del recurso de inconstitucionalidad formulado, por los motivos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legislación estatal reguladora de los horarios comerciales, y en general la normativa referente a aspectos propios del comercio minorista, cuando no traspasa los contornos de lo que puede entenderse como básico, es una materia que se integra, desde una perspectiva jurídico-constitucional, en el título competencial atribuido al Estado en el artículo 149.1.13 CE, y así lo ha entendido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horarios comerciales puede encuadrarse conceptualmente como un subsector específico de la materia de comercio interior. Cierto es que a priori la regulación de este ámbito se halla atribuida en los Estatutos de Autonomía, y generalmente de manera exclusiva, a la competencia autonómica; y así ocurre, en el caso de Andalucía, en el artículo 58.1.1 de su Estatuto. Pero esta atribución competencial exclusiva no impide, como el propio precepto estatutario explicita, la confluencia o intersección del título del Estado sobre la ordenación general de la economía, que puede afectar a un subsector determinado y concreto (como el de la libertad de horarios comerciales en las denominadas zonas de gran afluencia turística) dentro del más amplio que es el de comercio interior, y así lo ha sostenido con carácter general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representante estatal que resulta ajustado a la Constitución que el Estado, utilizando de manera legítima su título competencial para la ordenación económica general, incida, por razones constitucionalmente justificadas, sobre aspectos puntuales de la actividad comercial, como por ejemplo, el de la liberalización de determinados ámbitos del sector comercio interior; en concreto, la liberalización de los horarios comerciales, que en el presente supuesto se produce en función de la declaración de zonas de gran afluencia turística, de acuerdo con la Ley 1/2004, de 21 de diciembre, de horarios comerciales, en su redacción dada por la Ley 18/2014. Esta posibilidad de incidencia transversal específica constituye doctrina consolidada, en particular en relación con la regulación de los horarios comerciales y de determinados aspectos de la realidad económico-social del comercio minorista.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el Abogado del Estado que los artículos 4 a 7 y el anexo I de la Ley 18/2014, contienen una regulación que amplía el alcance liberalizador de los horarios comerciales, que se establecía hasta el momento en el Real Decreto-ley 20/2012, legislación esta última de carácter básico, tal y como lo ha declarado la jurisprudencia constitucional. Con la extensión de dicho régimen básico, la normativa estatal viene a profundizar el marco general liberalizador de la economía del país, en este concreto subsector.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declarado, asimismo, que es al ente territorial titular de la competencia básica, a quien corresponde delimitar, dentro de la Constitución, la extensión que en cada circunstancia debe tener lo básico, en función de las exigencias del interés general. El legislador estatal, al extender el ámbito material de lo básico, debe respetar los límites máximos a los que pueden alcanzar las bases en una materia, pero, respetando ese límite, el Estado puede optar, en función de las circunstancias, por reconocer mayor o menor margen de desarrollo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título competencial del artículo 149.1.13 CE, ha declarado el Tribunal que el ejercicio por el Estado de la mencionada competencia es compatible con la existencia de competencias exclusivas de las Comunidades Autónomas sobre determinados subsectores económicos, competencias que quedarán, no obstante, condicionadas por las medidas estatales dirigidas efectivamente a un objetivo de planificación económica y que, por tanto, deberán acomodarse a las directrices generales establecidas por el Estado con esa finalidad. Precisamente por su carácter liberalizador, el efecto de las normas estatales no puede ser enervado por un eventual desarrollo autonómico de la normativa estatal, aun cuando ello no pueda implicar un vaciamiento de las competencias autonómicas. Tratándose de normativa básica, en el doble sentido, material y formal, ésta debe ser asumida por las Comunidades Autónomas como marco de actuación en su actividad reguladora y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Abogado del Estado, en relación al contenido de los preceptos impugnados, en que se trata de adaptaciones legislativas, que únicamente amplían el ámbito de la liberalización ya efectuada conforme a normas estatales ya enjuiciadas en anteriores Sentencias de este Tribunal (SSTC 88/2010, de 15 de noviembre, y 26/2012, de 1 de marzo), por lo que su sola reforma no supone una circunstancia que altere los criterios jurisprudenciales expuestos en esas sentencias. Además, no se suprime el margen de decisión de las Administraciones territoriales que intervienen en la declaración de zonas de gran afluencia turística, en su régimen y en el otorgamiento de las autorizaciones que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con lo dispuesto en el artículo 6, afirma el Abogado del Estado que la competencia estatal reguladora de las limitaciones y régimen jurídico de las autorizaciones que pueden otorgar las Administraciones Públicas para la apertura, traslado y ampliación de establecimientos comerciales, encuentra amparo en lo dispuesto en el artículo 149.1.13 CE, y constituye transposición de una normativa europea, ya en su primera fase transpuesta por la Ley 17/2009, de 23 de noviembre, que impone tal grado de liberalización del subsector correspondiente de los establecimientos comerciales, en relación con el régimen de intervención de las Administraciones públicas. Afirma la Abogacía del Estado que, en ausencia de margen regulatorio de maniobra, no es contradictorio con el régimen de reparto competencial entre el Estado y las Comunidades Autónomas en un concreto punto o aspecto afectado por dicha regulación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28 de abril de 2017, la Magistrada Doña María Luisa Balaguer Callejón comunicó su voluntad de abstenerse en el conocimiento del presente recurso de inconstitucionalidad, por entenderse incluida en el epígrafe 13 del artículo 219 de la Ley Orgánica del Poder Judicial (LOPJ) (haber ocupado cargo público, con ocasión del cual haya participado directa o indirectamente en el asunto objeto de la causa). Por Auto de 9 de mayo de 2017, el Pleno de este Tribunal acordó estimar justificada la abstención formulada, apartándola definitivamente del conocimiento del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mayo de 2017,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recurso de inconstitucionalidad formulado por el Consejo de Gobierno de la Comunidad Autónoma de Andalucía en relación con los artículos 4, 5, 6 y 7 y el anexo I, de la Ley 18/2014, de 15 de octubre, de aprobación de medidas urgentes para el crecimiento, la competitividad y la eficiencia.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más ampliamente ha quedado expuesto en los antecedentes, la Comunidad Autónoma fundamenta la inconstitucionalidad de los preceptos controvertidos, en que su regulación excede de la competencia estatal básica que, en materia de ordenación general de la economía, atribuye al Estado el artículo 149.1.13 CE, con la consiguiente vulneración de las competencias autonómicas en materia de comercio interior, contempladas en el artículo 58.1.1 de su Estatuto de Autonomía. El Abogado del Estado, por las razones que han quedado también expuestas en los antecedentes, interesa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18/2014, de 15 de octubre, de aprobación de medidas urgentes para el crecimiento, la competitividad y la eficiencia trae causa de la tramitación como proyecto de ley del Real Decreto-ley 8/2014, de 4 de julio, de idéntico enunciado. Como expresamente reconoce el texto de la demanda, y como ya tuvimos ocasión de advertir en las SSTC 195/2016, de 16 de noviembre, FJ 2, y 214/2016, de 15 de diciembre, FJ 2, existe una sustancial coincidencia entre el texto de la Ley 18/2014 y el texto del Real Decreto-ley 8/2014.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46/2017, de 27 de abril, y con ocasión del recurso de inconstitucionalidad también formulado por el Consejo de Gobierno de la Junta de Andalucía contra el Real Decreto-ley 8/2014, este Tribunal se ha pronunciado ya sobre la constitucionalidad de los artículos 4, 5, 6 y 7 y el anexo I del Real Decreto-ley 8/2014, homólogos de los contenidos en la Ley 18/2014, aquí recurrida. Este pronunciamiento, como expresamente vino a reconocer en su momento la Junta de Andalucía, tiene una relevancia directa en el presente supuesto, dado que la impugnación ahora formulada se refiere a los mismos preceptos y se sustenta en idénticos motivos, por lo que la doctrina contenida en dicha Sentencia resulta plenamente trasladable y permite responder a la totalidad de las impugnaciones ahora formuladas por el Consejo de Gobierno de la Junta de Andalucía, en los términos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impugnación dirigida contra los artículos 4 y 7, fue resuelta en la STC 46/2017, (FJ 2), por remisión a lo señalado en la STC 195/2016, que en sus fundamentos jurídicos 4 a 6, afirmó que estos preceptos han sido dictados en el legítimo ejercicio de la competencia básica que el Estado corresponde al amparo del artículo 149.1.13 CE, y, en consecuencia no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impugnación dirigida contra el artículo 5 y el anexo I, la STC 46/2017 (FJ 3), vino a recordar que ya la STC 214/2016 [FJ 3 b)], desestimó la impugnación formulada por el Gobierno Vasco contra estos mismos preceptos de la Ley 18/2014, de 15 de octubre, por lo que, procedía, por idénticos motivos, declarar que los mismos no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relación con el artículo 6 del Real Decreto-ley 8/2014, homólogo del precepto equivalente de la Ley 18/2014, la citada STC 46/2017, en su fundamento jurídico 4 rechazó la inconstitucionalidad del precepto, afirmando su carácter formal y materialmente básico, al amparo de la competencia atribuida al Estado en el artículo 149.1.13 CE, y descartando también el argumento contenido en la demanda, conforme al cual no existe una justificación suficiente para apelar a las normas básicas estatales, que, a su juicio, ya se encuentran en la Directiva 2006/123/CE, de 12 de diciembre, relativa a los servicios del mercado interior. Como afirmamos entonces, “la intervención del derecho comunitario europeo no altera el reparto constitucional interno de competencias en una materia y no nos corresponde verificar la corrección de la afirmación de que la normativa europea absorbe la regulación básica de un concreto ámbito material, dado que nuestro enjuiciamiento debe circunscribirse a determinar si las concretas normas impugnadas pueden considerarse o no dictadas en el legítimo ejercicio de la competencia que la Constitución atribuye al Estado (en sentido similar, STC 34/2013,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coincidencia objetiva, y de acuerdo con la doctrina constitucional (por todas, STC 172/1998, de 23 de julio, FJ 2), procede desestimar la impugnación dirigida contra los artículos 4, 5, 6, 7 y el anexo I de la Ley 18/2014, siendo suficiente para ello la remisión a los fundamentos jurídicos de la Sentencia anteriormente citada, que cabe dar por reproducidos, lo que nos exime de incluirlos, siquiera sea en extracto (STC 100/2016, de 25 de mayo,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inconstitucionalidad núm. 292-2015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su fundamentación jurídica y con su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mi discrepancia es mantener la coherencia con los Votos particulares que formulé a las SSTC 199/2015, de 24 de septiembre; 195/2016, de 16 de noviembre; y 46/2017, de 27 de abril, en que ya defendí que debía haber sido declaro inconstitucional y nulo el Real Decreto-ley 8/2014, de 4 de julio, en su conjunto, por vulneración del art. 86.1 CE al no concurrir la situación de extraordinaria y urgente necesidad exigible para este tipo de normas.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mayo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