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4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28 de diciembre de 2016, la Procuradora de los Tribunales doña Pilar Marta Bermejillo de Hevia en representación de 126 Buenavista, S.L., y otros, interpuso recurso de amparo contra Auto de la Sección Decimoctava de la Audiencia Provincial de Madrid de 7 de noviembre de 2016, resolviendo recurso de apelación interpuesto contra Auto del Juzgado de Primera Instancia núm. 74 de Madrid de 31 de marzo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Procuradora señora Bermejillo de Hevia, por escrito presentado en este Tribunal el día 15 de febrero de 2017 y suscrito por letrado, manifiesta su voluntad de desistir de la continuación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16 de febrero de 2017, se dio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que tuvo entrada en el Tribunal el día 1 de marzo de 2017, manifiesta que no se opone a la aprobación del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la del desistimiento, prevista en el artículo 86.1 de la Ley Orgánica del Tribunal Constitucional (LOTC), y a la que es de aplicación supletoria la legislación procesal ordinaria (art. 80 LOTC), que la recoge en los artículos 19.1 y 20.2 y 3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fórmula y decisión de la parte aparece revestida de los requisitos legales, al constar en el poder conferido por el recurrente el otorgamiento con carácter especial de las facultades de desistir, tal y como exige el artículo 25.2.1 LEC, además de que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presente recurso de amparo a las entidades 126 Buenavista S.L., Abaco I Proyectos, Reformas y Licencias S.L., Entrearroyos S.L., y Losanse S.A.,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