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9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enero de 2016 tuvo entrada en el registro general de este Tribunal un escrito del Juzgado de lo Contencioso-Administrativo núm. 22 de Madrid, al que se acompaña, junto al testimonio del correspondiente procedimiento, Auto de 15 de diciembre de 2015, recaído en el recurso contencioso-administrativo núm. 112-2014, por el que se acuerda promover ante este Tribunal cuestión de inconstitucionalidad respecto de los artículos 107 y 110.4 del Real Decreto Legislativo 2/2004, de 5 de marzo, por el que se aprueba el texto refundido de la Ley reguladora de las haciendas locales, por posible vulneración de los artículos 14 y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3 de mayo de 2017 el Magistrado don Juan Antonio Xiol Ríos comunicó su voluntad de abstenerse en el conocimiento de la presente cuestión de inconstitucionalidad por entender que concurría la causa décima del artículo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artículos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décima del artículo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409-2016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