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83</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5 de junio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recurso de amparo núm. 1659-2016 se impugnan las Sentencias de la Sala Segunda del Tribunal Supremo de 7 de septiembre de 2015, parcialmente estimatoria la primera del recurso de casación interpuesto núm. 1765-2014 por el Ministerio Fiscal contra la Sentencia de la Sección Sexta de la Audiencia Provincial de Vizcaya de 16 de junio de 2014, y condenatoria, la segunda, por delitos contra la salud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31 de mayo de 2017 el Magistrado don Cándido Conde-Pumpido Tourón comunicó a los efectos oportunos que se abstenía de intervenir en el antes indicado recurso de amparo, de conformidad con el artículo 80 de la Ley Orgánica del Tribunal Constitucional, por concurrir la causa de abstención prevista en el artículo 219.11 de la Ley Orgánica del Poder Judicial.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Cándido Conde-Pumpido Tourón Magistrado de esta Sala Primera del Tribunal Constitucional, la Sala, en virtud de lo previsto en el artículo 219.11 de la Ley Orgánica del Poder Judicial, supletoria de la Ley Orgánica del Tribunal Constitucional (artículo 80), estima justificada la causa de abstención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Cándido Conde-Pumpido Tourón en el recurso de amparo núm. 1659-2016,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