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5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septiembre de 2016 tuvo entrada en el registro general de este Tribunal un escrito del Juzgado de lo Contencioso-Administrativo núm. 1 de Jerez de la Frontera, al que se acompaña, junto al testimonio del correspondiente procedimiento, Auto de 25 de julio de 2016, recaído en el recurso contencioso-administrativo núm. 445-2015, por el que se acuerda promover ante este Tribunal cuestión de inconstitucionalidad respecto del artículo 107 del Real Decreto Legislativo 2/2004, de 5 de marzo, por el que se aprueba el texto refundido de la Ley reguladora de las haciendas locales, por posible vulneración del art.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23 de mayo 2017 el Magistrado don Alfredo Montoya Melgar manifestó, conforme a lo previsto en el artículo 217 de la Ley Orgánica del Poder Judicial (LOPJ), en relación con el artículo 80 de la Ley Orgánica del Tribunal Constitucional, su voluntad de abstenerse en el conocimiento de la cuestión de inconstitucionalidad núm. 4865-2016 y todas sus incidencias, al concurrir en él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la cuestión de inconstitucionalidad núm. 4865-2016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