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3 de octubre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providencia de 12 de septiembre de 2017, publicada en el “Boletín Oficial del Estado” núm. 221, de 13 de septiembre de 2017, el Pleno del Tribunal Constitucional admitió a trámite el recurso de inconstitucionalidad promovido por el Presidente del Gobierno contra la Ley 20/2017, de 8 de septiembre, de la Comunidad Autónoma de Cataluña, denominada Ley de transitoriedad jurídica y fundacional de la República. En ella se advertía al señor don Josep Costa i Roselló, en su condición de suplente primero de la Sindicatura electoral de Cataluña nombrado por la resolución 807/XI del Parlamento de Cataluña, recurrida y suspendida por el Tribunal Constitucional por resolución de 7 de septiembre de 2017 (“Boletín Oficial del Estado” núm. 216, de 8 de septiembre de 2017), de “su deber de impedir o paralizar cualquier iniciativa que suponga ignorar o eludir la suspensión acordada. En particular, que se abstengan de iniciar, tramitar, informar o dictar acuerdo alguno en orden a la ejecución de las previsiones contenidas en la ley impugnada o que promuevan o tramiten actuación y norma alguna dirigida a tal fin, apercibiéndoles de la nulidad radical de tales actuaciones y de las eventuales responsabilidades, incluida la penal, en las que pudieran incurrir en caso de desobediencia de dicho requerimiento”.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el registro general de este Tribunal el día 21 de septiembre de 2017, el procurador de los Tribunales don Francisco de Asís Moreno Ponce, actuando en nombre y representación de don Josep Costa i Roselló, solicita al amparo de los artículos 267 de la Ley Orgánica del Poder Judicial y 214 de la Ley de enjuiciamiento civil aclaración de la citada providencia y del requerimiento en ella contenido. Sostiene que carece de legitimación pasiva para ser destinatario de la resolución, puesto que no tiene la condición de autoridad o empleado público establecida en el artículo 87 de la Ley Orgánica del Tribunal Constitucional. Además, afirma que en su condición de profesor de universidad, abogado y ciudadano tiene la firme intención de seguir defendiendo la legitimidad del referéndum de autodeterminación de Catalunya, asesorando jurídicamente a sus partidarios o defensores y participando en actos de debate, divulgación y propaganda del mismo. Entiende que todas estas actividades están amparadas por los derechos fundamentales y libertades públicas consagrados en la Constitución, tales como la libertad de opinión y expresión, la libertad de cátedra, el derecho de asociación, reunión y manifestación, la libertad de información y prensa y los derechos de participación política. Por todo ello considera que el Tribunal Constitucional, en su condición de garante de tales derechos y libertades, tiene el deber moral de aclarar y poner fin a la confusión e inseguridad jurídica creada, en el sentido de que las resoluciones y apercibimientos “se dirigen exclusivamente a los poderes públicos dejando a salvo la plena vigencia de los derechos y libertades fundamentales en toda su extensión … en el bien entendido que [el solicitante] no ejerce ni ha ejercido nunca ninguna función o potestad pública relacionada con la convocatoria o celebración del referéndum”.</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artículo 93 LOTC se refiere únicamente a la aclaración de sentencias, y no de autos y providencias, contra las cuales, dice el apartado 2 del precepto, “solo procederá, en su caso, el recurso de súplica”, la posibilidad de aclarar estas resoluciones ha sido admitida por este Tribunal acudiendo al régimen general de los artículos 267 de la Ley Orgánica del Poder Judicial y 214 de la Ley de enjuiciamiento civil que invoca el solicitante de la aclaración en su escrito (así, por ejemplo, AATC 110/2002, de 18 de junio; 209/2002, de 28 de octubre, y 106/2010, de 6 de septiembre). Ahora bien, como también hemos reiterado en multitud de ocasiones, el objeto de la solicitud de aclaración es, exclusivamente, la “corrección de errores materiales manifiestos o errores aritméticos, a la aclaración de algún concepto oscuro, a suplir cualquier omisión o a la rectificación de alguna contradicción manifiesta que se evidencie del propio texto de la [resolución], sin necesidad de nuevas deducciones o interpretaciones” (por todos, AATC 94/2013, de 7 de mayo, FJ 1, y 55/2015, de 5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los términos expuestos, no procede la aclaración solicitada. Las dudas del solicitante acerca de los actos a los que alcanza el requerimiento efectuado se resuelven con la mera lectura de la resolución cuya aclaración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no aprecia en la providencia del 12 de septiembre pasado ningún concepto oscuro que deba ser aclarado. Al contrario, los términos de la resolución del Tribunal son claros y sencillos: en ella se tiene “por invocado por el Presidente del Gobierno el artículo 161.2 de la Constitución, lo que, a su tenor y conforme dispone el art. 30 LOTC, produce la suspensión de la vigencia y aplicación de la Ley impugnada, desde la fecha de interposición del recurso —11 de septiembre de 2017— para las partes del proceso y desde el día en que aparezca publicada la suspensión en el ‘Boletín Oficial del Estado’ para los terceros”, y se acuerda su notificación personal al solicitante por su condición de suplente de la Sindicatura electoral de Cataluña nombrado por la resolución 807/XI del Parlamento de Cataluña, igualmente recurrida y suspendida por providencia de 7 de septiembre de 2017, advirtiéndole “de su deber de impedir o paralizar cualquier iniciativa que suponga ignorar o eludir la suspensión acordada. En particular, que se abstengan de iniciar, tramitar, informar o dictar acuerdo alguno en orden a la ejecución de las previsiones contenidas en la ley impugnada o que promuevan o tramiten actuación y norma alguna dirigida a tal fin, apercibiéndoles de la nulidad radical de tales actuaciones y de las eventuales responsabilidades, incluida la penal, en las que pudieran incurrir en caso de desobediencia de dicho requerimiento” (párrafo en el que aparecen subrayadas las expresiones: “la suspensión acordada” y “la ejecución de las previsiones contenidas en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una reiterada jurisprudencia, no es misión de este Tribunal efectuar declaraciones preventivas que tengan por finalidad evitar lesiones de derechos fundamentales potenciales o futuras (STC 32/1984, de 8 de marzo, FJ 3, y ATC 68/1988, de 20 de enero, FJ único) o, en general, poner a cubierto de eventuales actos contrarios al ordenamiento (STC 184/2016, de 3 de noviembre, FJ 2, con cita de otras). Igualmente, hemos dicho que cuando los términos de las resoluciones son claros e inequívocos, es ahí donde ha de encontrarse la aclaración de las dudas (AATC 25/1990, de 16 de enero, FJ 2, y 66/2013, de 12 de marzo,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