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10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8 de abril de 2017, doña María Victoria Sánchez Cano interpuso recurso de amparo contra el Auto de la Sala de lo Social del Tribunal Supremo, de 1 de febrero de 2017, que inadmitió el recurso de casación para la unificación de doctrina articulado contra la Sentencia de la Sala de lo Social del Tribunal Superior de Justicia de la Comunidad Valencia, de 3 de noviembre de 2015, desestimatoria del recurso de suplicación núm. 2519-2015 frente a la Sentencia del Juzgado de lo Social núm. 2 de Alicante de 30 de diciembre de 2014, dictada en autos de despido núm. 641-2013.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demandante aduce la vulneración de los artículos 24.1 y 2 CE, en relación con los artículos 14, 35 y 37.1 CE, por no concretarse en la carta de despido las causas que provocaron la resolución contractual, y por la motivación e interpretación de la ley contenida en las resoluciones judiciales, que ocasionan a la trabajadora un impedimento para desplegar su derecho de defensa con la debida contradicción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11 de julio de 2017, la Sección Cuarta del Tribunal Constitucional acordó inadmitir a trámite el recurso de amparo, con arreglo a lo previsto en el artículo 50.1 a) de la Ley Orgánica del Tribunal Constitucional, en relación con su artículo 44.1 a), porque la recurrente “no ha agotado debidamente los medios de impugnación dentro de la vía judicial (no interposición del incidente de nulidad de actuaciones previsto en el artículo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interpuso el 7 de septiembre de 2017 recurso de súplica frente a la providencia de inadmisión. Señala su escrito que el objeto del proceso constitucional reside en una eventual lesión del derecho de defensa que fue alegado en las diversas instancias judiciales, desde la inicial demanda de despido hasta el grado jurisdiccional de casación, de suerte que no procedería inadmitir el recurso con base en la causa puesta de manifiesto en la providencia que se recurre, menos cuando en otros recursos planteados en los mismos términos que el presente se concluyó el proceso con una resolución de inadmisión fundada en otras causas (señaladamente, recurso de amparo 1881-2017).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11 de septiembre de 2017, se acordó dar traslado a la demandante de amparo por el plazo de tres días para que alegara lo que estimara pertinente. Evacuando el trámite mediante escrito registrado el día 17 de septiembre de 2017, se adhirió a lo alegado por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el Ministerio Fiscal recurre en súplica la providencia dictada por esta misma Sección el día 11 de julio de 2017, por la que se acordó inadmitir a trámite el recurso de amparo al no haberse interpuesto el debido incidente de nulidad de actuaciones. A su parecer, las pretensiones articuladas en la demanda de amparo fueron sustanciadas y resueltas en el proceso, por lo que no era necesario la reiteración de esas quejas a través de aquel remedio procesal del artículo 241.1 de la Ley Orgánica del Poder Judicial, como condición de agotamiento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(entre tantos otros, recientemente, ATC 54/2017, de 20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de este Tribunal, inaugurada en la STC 39/2003, de 27 de febrero, y recogida o aplicada más tarde en otros pronunciamiento (por ejemplo, SSTC 265/2006, de 11 de septiembre, FJ 6, o 169/2013, de 7 de octubre, FJ 3), que en casos semejantes al ahora enjuiciado, antes de impetrar el amparo constitucional, tras la inadmisión por la Sala Cuarta del Tribunal Supremo del recurso de casación para la unificación de doctrina, es necesario interponer un incidente de nulidad de actuaciones ante el órgano judicial de suplicación al que se imputa la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sucede en el presente caso, toda vez que, si bien es cierto que estuvo siempre presente en el proceso el debate sobre los contenidos de la carta de despido a los fines de la sucesiva defensa en vía judicial, también lo es que la recurrente formula quejas añadidas y autónomas, que no considera causadas por el acto inicial de despido sino en sede judicial, señalando que el recurso en el grado jurisdiccional de suplicación planteaba aspectos nuevos respecto de los suscitados en la demanda y trascendía con ello la imputación de la lesión inicialmente dirigida al acto extintivo entre privados. Dice así, en concreto, que en el grado jurisdiccional de suplicación planteó una “nueva perspectiva”, distinta a la de la demanda rectora del proceso; una nueva lesión nacida del hecho de que “la indefensión se hubiera producido en sede judicial y fuera atribuible a un órgano judicial”. Y a su juicio, pese a las pretensiones articuladas, la Sentencia de 3 de noviembre de 2015, dictada por la Sala de lo Social del Tribunal Superior de Justicia, ignoró la indefensión padecida, la permitió e impidió el principio contradictorio, ofreciendo una motivación de su decisión (que transcribe parcialmente en su escrito del recurso) basada en una lectura de la norma aplicable que reduce el control judicial a ciertas vulneraciones groseras de la Ley o de la Constitución y que desatiende, además, los derechos fundamentales a la igualdad, a la negociación colectiva y al trabajo que subyacían en la concreta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Bajo esas circunstancias, como ha quedado dicho, en atención a la doctrina de la STC 39/2003, antes de impetrar el amparo constitucional, tras la inadmisión por la Sala Cuarta del Tribunal Supremo del recurso de casación para la unificación de doctrina, era necesario interponer un incidente de nulidad de actuaciones ante el Tribunal Superior de Justicia de la Comunidad Valenciana, garantizando con ello la subsidiariedad del amparo respecto a la indefensión que por esa Sentencia se dice causada, ya que, de haberse obtenido un pronunciamiento favorable por ese cauce de reparación, la lesión que se dice causada en su derecho de defensa podría haber resultado paliada.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dictada el 11 de julio de 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