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16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octubre de 2016, el Procurador de los Tribunales don Guzmán de la Villa de la Serna, en nombre y representación de don Ilias I. Traber, asistido del Abogado don Jesús María Silva Sánchez, interpuso recurso de amparo contra el Auto de la Sección Cuarta de la Sala de lo Penal de la Audiencia Nacional de 12 de septiembre de 2016, que desestima el recurso de apelación interpuesto contra el Auto de 30 de marzo de 2016 del Juzgado Central de Instrucción núm. 5, por el que se inadmite la personación del Sr. Traber en las diligencias previas núm. 321-2006, así como el recurso de reforma interpuesto contra el Auto del mismo Juzgado de 22 de enero de 2016, por el que se ordena la búsqueda internacional y detención de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de conformidad con el artículo 56.2 de la Ley Orgánica del Tribunal Constitucional, la inmediata suspensión de la ejecución de la orden de detención que pesa sobre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acordó la admisión a trámite de la demanda de amparo mediante providencia de 18 de septiembre de 2017. Asimismo, por providencia de la misma fecha, se procedió a formar la correspondiente pieza separada de suspensión, concediendo un plazo común de tres días al recurrente y al Ministerio Fiscal para que alegasen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sus alegaciones por escrito registrado en este Tribunal el 26 de septiembre de 2017; tras recordar los antecedentes del asunto, interesa que no se acceda a la solicitud de suspensión de la ejecución de la orden de detención que pesa sobre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que solicita el recurrente se refiere a una resolución: la orden de detención, que no ha sido enjuiciada en el proceso a quo y que no va a ser objeto de examen en el recurso de amparo que se dirige contra sendas resoluciones que han denegado la personación de aquel en unas diligencias penales. Se trata pues de una pretensión de suspensión carente de argumentación y ajena al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por escrito registrado en este Tribunal el 27 de septiembre de 2017, presentó alegaciones reiterando su solicitud de suspensión de la ejecución de la orden de detención en tanto se resuelve el presente recurso de amparo, que interesa sea acordada de manera urgente.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que, de no accederse a la suspensión interesada, el amparo —dada la duración ordinaria de su tramitación— perdería su finalidad, porque la práctica de la detención tendría efectos irreparables, sin que, por el contrario, la suspensión pueda deparar perjuicio alguno para los intereses generales o de los derechos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artículo 56.1 de la Ley Orgánica del Tribunal Constitucional (LOTC), la interposición del recurso de amparo no suspenderá los efectos del acto o sentencia impugnados. No obstante, la Sala (o la Sección, en su caso) que conozca de un recurso de amparo podrá acordar la suspensión de la ejecución del acto de los poderes públicos por razón del cual se reclame el amparo cuando dicha ejecución, caso de llevarse a cabo, “produzca un perjuicio que haría perder al amparo su finalidad”, siempre y cuando la suspensión no ocasione “perturbación grave a un interés constitucionalmente protegido, ni a los derechos fundamentales o libertades públicas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(como ocurre en el presente caso),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216/2001, de 17 de julio, FJ 1; 199/2007, de 27 de marzo; FJ 1; 117/2015, de 6 de julio, FJ 3, y 3/2016, de 18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(AATC 81/2012, de 7 de mayo, FJ 3; 95/2015, de 25 de mayo, FJ 2, y 99/2016, de 9 de mayo,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la solicitud de suspensión se hace preciso resaltar que el objeto del presente recurso de amparo lo constituye, exclusivamente, como advierte el Ministerio Fiscal, el enjuiciamiento acerca de si las resoluciones judiciales impugnadas, que deniegan la personación del recurrente en un proceso penal, lesionan su derecho a la tutela judicial efectiva sin indefensión (art. 24.1 CE), en relación con los derechos a la defensa, a ser informado de la acusación y a un proceso con todas las garantías (art. 24.2 CE). El recurrente solicita en el suplico de su demanda de amparo que se anulen esas resoluciones judiciales y que se admita su personación en las diligencias que se siguen ante el Juzgado Central de Instrucción núm. 5, “permitiéndole ejercer en el futuro todos los derechos que el art. 24 CE le reconoce, tramitando asimismo el recurso de reforma interpuesto contra su orden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solicitud de suspensión no se refiere a los Autos impugnados en amparo, sino a la orden de detención que pesa sobre el recurrente, acordada en el Auto de 22 de enero de 2016 del Juzgado Central de Instrucción núm. 5, que no es objeto del presente recurso de amparo y respecto de la que únicamente se afirma por aquel que, de no acordarse la suspensión (de la orden de detención), el amparo perdería su finalidad en caso que fuera otorgado, dada la duración ordinaria de la tramitación de estos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ni la solicitud de suspensión se refiere a las resoluciones judiciales impugnadas en amparo, ni el recurrente satisface la carga procesal de precisar cuáles serían los supuestos perjuicios irreparables que, derivados de la ejecución de las resoluciones impugnadas, harían perder al amparo su finalidad (art. 56.1 y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hecho de que la orden de detención que pesa sobre el recurrente llegara a ejecutarse tampoco permitiría sin más presumir la existencia de perjuicios irreparables para aquel, al margen de que, por tratarse de una eventualidad futura, en caso de sobrevenir pudiera dar lugar, ex artículo 57 LOTC, a que este Tribunal se pronunciase, si así se le solicita, sobre la procedencia de adoptar la medida cautelar que ahora se deniega (entre otros muchos, AATC 107/1998, de 4 de mayo, FJ 2; 35/2002, de 11 de marzo, FJ 3; 361/2003, de 10 de noviembre, FJ 2; 117/2004, de 19 de abril, FJ 4, y 3/2017, de 16 de enero,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