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145</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13 de noviembre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10 de abril de 2017 tuvo entrada en el registro general de este Tribunal Constitucional un escrito de la Procuradora de los Tribunales doña Esther Gómez de Enterría, actuando en nombre y representación de don Sixto Delgado de la Coba, por el que interponía recurso de amparo contra la Sentencia de la Sala de lo Penal del Tribunal Supremo núm. 116/2017, de 23 de febrero, por la que se acordó desestimar el recurso de casación interpuesto contra la Sentencia de la Audiencia Provincial de Madrid (Sección Vigesimotercera) núm. 280/2016, de 29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resolver la pretensión de suspensión formulada por la demandante,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Audiencia Provincial de Madrid (Sección Vigesimotercera) dictó Sentencia el 29 de abril de 2016 en la que condenó al recurrente en amparo como autor de dos delitos contra la hacienda pública, previstos en el artículo 305 del Código penal vigente en la fecha de los hechos, por defraudación del impuesto sobre la renta de las personas físicas (IRPF) de los períodos impositivos 2005 y 2006, a la pena de tres años de prisión por cada uno de ellos. Además se impuso al recurrente la pena de multa del cuádruplo de la cantidad defraudada, esto es, de 11.369.216,32 €, la pérdida de la posibilidad de obtener subvenciones o ayudas públicas y del derecho a gozar de los beneficios o incentivos fiscales o de la Seguridad Social durante el período de cinco años, la pena accesoria de inhabilitación para el ejercicio del derecho de sufragio pasivo durante el tiempo de la condena y a que en concepto de responsabilidad civil indemnice a la hacienda pública española en 2.842.304,08 €, a la que asciende la suma de las cuotas defraudadas, cantidad que devengará el interés establecido en el artículo 58 de la Ley general tributaria desde la fecha en la que debió efectuarse el ingreso y hasta su completo pago.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Mediante Auto de 30 de mayo de 2016 la Sala aclaró el anterior pronunciamiento en el sentido de imponer al acusado la pena de multa de 9.061.972,08 € por el delito contra la hacienda pública respecto del IRPF del ejercicio 2005, y otra pena de multa de 2.307.244,24 € por el delito contra la hacienda pública respecto del IRPF del ejercicio 2006, quedando sujeto en caso de impago a una responsabilidad personal subsidiaria, privativa de libertad, de dos meses por el primer delito y cuarenta y cinco días por el segundo; asimismo, que la pérdida de la posibilidad de obtener subvenciones, ayudas públicas, beneficios o incentivos fiscales y de la Seguridad Social durante cinco años era por cada uno de los delitos cometidos.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Frente a esta Sentencia interpuso recurso de casación en el que el recurrente en amparo alegó la infracción de preceptos constitucionales (arts. 852 de la Ley de enjuiciamiento criminal: LECrim y 5.4 de la Ley Orgánica del Poder Judicial: LOPJ) por vulneración de los derechos a la tutela judicial efectiva, a la presunción de inocencia y a un proceso con todas las garantías (art. 24 CE), del derecho a la tutela judicial efectiva y a la utilización de medios de prueba necesarios para la defensa (art. 850.1 LECrim y art. 5.4 LOPJ), así como infracción de ley (art. 849.1 LECrim) por indebida aplicación del art. 305 del Código penal (CP).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Segunda del Tribunal Supremo dictó la Sentencia núm. 116/2017, de 23 de febrero, desestimando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Supremo afirma que los ficheros bancarios que se correspondían con personas y entidades que disponían de fondos, activos y valores en la entidad suiza HSBC, fueron correctamente incluidos en el material probatorio valorable por el Tribunal de instancia y no estaban afectados por la regla de exclusión. “Se trataba de información contenida en unos archivos de los que se apoderó ilícitamente un particular que, cuando ejecutó la acción, no lo hizo como agente al servicio de los poderes públicos españoles interesados en el castigo de los evasores fiscales. Tampoco se trataba de ficheros informáticos cuya entrega hubiera sido negociada entre el transgresor y los agentes españoles. La finalidad disuasoria que está en el origen de la exclusión de la prueba ilícita no alcanzaba a Herve Falciani, que sólo veía en esa información una lucrativa fuente de negociación. En definitiva, no se trataba de pruebas obtenidas con el objetivo, directo o indirecto, de hacerlas valer en un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vulneración del derecho fundamental a la tutela judicial efectiva, a la presunción de inocencia y a un proceso con todas las garantías con interdicción de la arbitrariedad, garantizadas por el artículo 24 de la Constitución Española, por cuanto la Sentencia recurrida en amparo declara probados determinados datos de hecho en los que se funda la condena, habiendo valorado como prueba de cargo una prueba ilícitamente obtenida. Aduce que el artículo 11.1 LOPJ impide que surtan efecto, directa o indirectamente, en toda clase de procesos, las pruebas de origen ilícito, de modo que ni las autoridades fiscales, ni la Abogacía del Estado, ni el Ministerio Fiscal ni el Tribunal de enjuiciamiento pueden “receptar documentación e información obtenida ilícitamente, aunque el lugar de origen de la prueba ilícita sea un Estado extranjero”. Entiende que este precepto contiene la regla de la exclusión probatoria de la prueba ilícita con independencia de la finalidad que hubiera animado su obtención, y de que la ilicitud provenga de la acción de un particular o de una autoridad.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en este caso se ha excepcionado la doctrina general conforme a la cual el Tribunal de casación debe controlar si la prueba de cargo que el Tribunal utilizó para dictar la sentencia condenatoria fue obtenida con respeto a las garantías inherentes al proceso debido, y por lo tanto, y en primer lugar, si dicha prueba fue adquirida sin vulneración de derechos fundamentales. Considera que debe objetivarse la doctrina de la exclusión probatoria y no hacer depender la eficacia probatoria de una prueba ilícita de las motivaciones del particular en el momento de su obtención.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la suspensión de la ejecución de las penas de prisión impuestas, pues la ejecución de las resoluciones recurridas comporta la pérdida de la finalidad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octubre de 2017, la Sección Primera de este Tribunal acordó admitir a trámite el recurso de amparo interpuesto por don Sixto Delgado de la Coba, “apreciando en el mismo una especial trascendencia constitucional (art. 50.1 de la Ley Orgánica del Tribunal Constitucional: LOTC) porque el recurso plantea un problema o afecta a una faceta de un derecho fundamental sobre el que no hay doctrina de este Tribunal [STC 155/2009, FJ 2 a)]”. Asimismo y en lo que aquí importa, la providencia decidió, “de conformidad con la solicitud de la parte actora”, que se formara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la misma fecha, la Sección Primera del Tribunal dictó otra providencia por la que: “se acuerda formar con el precedente testimonio la presente pieza separada de suspensión y, de conformidad con lo prevenido en el art. 56 de la Ley Orgánica del Tribunal Constitucional, conceder un plazo común tres días al Ministerio Fiscal y al solicitante de amparo, para que dentro de dicho término aleguen lo que estimen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24 de octubre de 2017, la representación procesal de don Sixto Delgado de la Coba formuló alegaciones en la pieza de suspensión, en el sentido de estimar procedente la suspensión de la ejecución de las penas de prisión impuestas.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recopilar doctrina constitucional sobre la suspensión del recurso de amparo, afirma que en el presente caso la perturbación de los intereses generales en el caso de que se acordara la suspensión de la pena no puede ser considerada como grave. Señala que el delito por el que ha sido condenado, delito contra la hacienda pública, no supone una perturbación grave de los intereses generales, ni la afectación a derechos fundamentales de terceros (ATC 34/2016, de 15 de febrero), la inexistencia de víctimas derivadas de dicho delito y por tanto su imposible desprotección, y especialmente la duración de las penas impuestas. Indica que el recurrente en amparo se enfrenta a una condena de dos penas de prisión de tres años, por la comisión de dos delitos contra la hacienda pública, siendo por tanto ambas inferiores a cinco años, y no pudiendo considerarse graves al amparo de lo dispuesto en el artículo 33 del Código penal. La duración de tales penas de prisión pone de manifiesto que su ejecución podría ocasionar al demandante perjuicios irreparables que harían perder su finalidad al recurso de amparo, y la eficacia de un eventual fallo estimatorio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24 de octubre de 2017, el Ministerio Fiscal presentó escrito interesando la denegación de la solicitud de suspensión. Tras recordar el contenido del ATC 34/2016, señala que en su escrito de demanda el recurrente en amparo sólo solicita la suspensión de la ejecución de las penas de prisión, y lo hace porque la condena impuesta no puede ser suspendida por los Tribunales ordinarios al exceder su magnitud penal de los dos años de prisión, por la previsible duración del proceso de amparo y porque la suspensión no supone quebranto a los intereses generales.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afirma que no comparte ninguna de dichas afirmaciones por ser contrarias a la reiterada doctrina del Tribunal sobre la suspensión de la ejecución de las penas de prisión. Para el Ministerio Fiscal la duración de la pena total impuesta imposibilita no sólo la suspensión de la ejecución por los tribunales encargados de su ejecución, por vetarlo la regulación penal, sino que además debe impedir su suspensión por el Tribunal Constitucional por exceder de los cinco años que como directriz fija en su doctrina. En caso contrario, y de atender a lo argumentado por la parte, si la imposibilidad de suspender la ejecución en la vía judicial ordinaria fuese motivo de suspensión en la vía de amparo, todos los condenados por las infracciones criminales más peligrosas deberían ser puestos en libertad por el Tribunal Constitucional, lo que no es asumible.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la previsible duración del proceso de amparo en su comparación con la duración de la pena impuesta tampoco aconseja su suspensión, pues haciendo dicha comparación la eventual estimación de la demanda y o el subsiguiente otorgamiento del amparo no le harían perder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señala que la gravedad de los hechos y la trascendencia social de los mismos no admiten discusión y que la pena accesoria de inhabilitación para el derecho de sufragio pasivo, al deber seguir la suerte de la pena principal, según reiterada doctrina del Tribunal, tampoco debe ser suspendida. El resto de los pronunciamientos condenatorios no debe tampoco suspenderse, primero porque no se solicita y segundo porque nada se argumenta acerca de su irreparabilidad, lo que sería imprescindible.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diligencia de ordenación de 30 de octubre de 2017 se concede un plazo de tres días al Abogado del Estado para que alegue lo que estime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3 de noviembre de 2017 el Abogado del Estado presentó su escrito de alegaciones en el que solicita la desestimación de la petición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que es constante la jurisprudencia del Tribunal Constitucional sobre los criterios aplicables a la petición de suspensión de penas privativas de libertad en recursos de amparo, sin que se cumpla ninguno de ellos en el caso, principalmente el dato de los seis años de condena de los que no ha cumplido ninguno y que es superior al límite fijado por el Tribunal Constitucional para valorar la concurrencia de circunstancias singulares en el caso debatido.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ello añade que los Autos del Tribunal Constitucional citados en el escrito de petición de suspensión no son aplicables al caso debatido. Así el ATC 243/2000 se refiere a un caso en que no se suspende la prisión provisional por haber sido detenido el demandante de amparo en busca y captura; el ATC 251/2000 se refiere a la suspensión de una sentencia contencioso-administrativa que privaba de una licencia de auto-taxi; el ATC 63/2001 se refiere a un caso en que el demandante, condenado a ocho años, ya había cumplido la mayor parte de la condena en prisión provisional; y el ATC 170/2001 se refiere a la suspensión de una sentencia que condenaba a repetir un juicio por jurado.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conformidad con el artículo 56.1 de la Ley Orgánica del Tribunal Constitucional (LOTC), “la interposición del recurso de amparo no suspenderá los efectos del acto o sentencia impugnados”. Esta regla se somete a excepción en el apartado 2 del mismo precepto, al señalar que “ello no obstante, cuando la ejecución del acto o sentencia impugnados produzca un perjuicio al recurrente que pudiera hacer perder al amparo su finalidad, la Sala, o la Sección en el supuesto del art.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la aplicación conjunta de ambas disposiciones, este Tribunal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entiende procedente acordarla en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(AATC 155/2002, de 16 de septiembre, FJ 3; 9/2003, de 20 de enero, FJ 2, y 44/2012, de 12 de marzo, FJ 1)…’ (ATC 19/2014, de 27 de enero,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la suspensión de las penas de prisión, “se ha utilizado como criterio de ponderación prioritario el de gravedad de la pena, aplicando de forma reiterada como directriz inicial la de que la pena se sitúe por encima o por debajo de la frontera de los cinco años de prisión (AATC 16/2009, de 26 de enero, 18/2011, de 28 de febrero, FJ 2, y 61/2013, de 27 de febrero, FJ 2), que es la que le sirve al legislador penal para diferenciar entre las penas graves y las menos graves (art. 33 del Código penal) (ATC 44/2012, FJ 2)” (ATC 137/2013, de 3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Junto a este criterio, el Tribunal (entre otros, ATC 137/2013, de 3 de junio) considera que también deben ponderarse otras circunstancias, tales como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otros, AATC 469/2007, de 17 de diciembre, FJ 2; 16/2008, de 21 de enero, FJ 1, y 172/2008, de 23 de junio, FJ 2). Estas circunstancias “expresan la reprobación que el Ordenamiento asigna al hecho delictivo y, por consiguiente, la magnitud del interés general en su ejecución (entre otros, AATC 109/2008, de 14 de abril, FJ 2; 53/2009, de 23 de febrero, FJ 1, y 171/2009, de 1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supuesto la Sentencia penal cuya ejecución se pide que sea suspendida ha sido dictada por el órgano jurisdiccional superior en todos los órdenes, el Tribunal Supremo, en una causa seguida por dos delitos contra la hacienda pública. Alega el recurrente que se enfrenta a una condena de dos penas de prisión de tres años siendo por tanto ambas inferiores a cinco años, y no pudiendo considerarse graves al amparo de lo dispuesto en el artículo 33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señala el ATC 5/2011, de 14 de febrero, para valorar la duración de la condena de privación de libertad recaída, en este caso un total de seis años, resulta irrelevante que su extensión sea el resultado de acumular dos penas de tres años, impuestas por dos delitos contra la hacienda pública, “ya que las mismas han de ser objeto de cumplimiento sucesivo, de conformidad con la regla establecida en el art. 75 del Código Penal”. Como ha señalado este Tribunal, “el dato objetivo del total de las penas de privación de libertad impuestas cuantifica el desvalor del comportamiento enjuiciado y el daño social producido según la apreciación del Tribunal sentenciador, que nosotros no podemos revisar en este trámite. Por lo que la duración total de las penas privativas de libertad impuestas en este caso ha de ser apreciada atendiendo al interés general cifrado en el cumplimiento de la Sentencia condenatoria a que se refiere el art. 56 LOTC. Interés público que está vinculado con la confianza social de la Justicia penal (ATC 310/1996) y con los efectos disuasorios que se derivan de la finalidad de prevención general de los delitos (ATC 310/1996, con cita de los AATC 143/1992 y 202/1995). Lo que es plenamente relevante en el presente caso” (ATC 126/1988, de 1 de junio, FJ 4; ATC 48/1998, de 24 de febrero, FJ 3; 47/1998, de 24 de febrero, FJ 3, y 419/1997, de 22 de diciembre,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consiguiente, si se considera la duración total de la pena impuesta así como el hecho de no haberse cumplido aún parte alguna de la condena, es claro que conceder la suspensión solicitada entrañaría una afectación del interés general grave y específica.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procede, de acuerdo con lo solicitado por el Ministerio Fiscal y el Abogado del Estado, denegar la suspensión de la ejecución de la pena de prisión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aun cuando el recurrente en amparo concreta la petición suspensiva a la ejecución de la pena de prisión, es indudable que tampoco cabría la suspensión del resto de los pronunciamientos al seguir las penas accesorias la misma suerte que la principal (AATC 131/2001, de 22 de mayo, FJ 2; 408/2005, de 21 de noviembre, FJ 2, y 80/2006, de 13 de marzo, FJ 2, entre otros), siendo susceptibles de reparación los de contenido patrimonial (AATC 101/2012, de 21 de mayo, FJ 2; 126/2010, de 4 de octubre, FJ 2, y 59/2008, de 20 de febrero, FJ 2, entre otros).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