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21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2017, la Procuradora de los Tribunales doña María del Carmen Iglesias Saavedra, en nombre y representación de don Pedro Chaparro Velacoracho, y bajo la dirección del Letrado don Santiago Borja Redondo,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61/2916, de 19 de febrero, dictada en el procedimiento abreviado núm. 313-2015, y se condena al recurrente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por una falta de lesiones a la pena de un mes de multa con cuota diaria de 10 € y responsabilidad personal subsidiaria en caso de impago de la multa de un día de privación de libertad por cada dos cuotas de la multa no abonadas; al pago de las 2/79 partes de las costas del juicio, incluidas las de las acusaciones particulares; al pago conjunto y solidario de responsabilidades civiles en las cantidades de 1.372,14 € y 94,2 € para dos perjudicados y al pago de una responsabilidad civil de 600 € al perjudicado por la falta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en lo relativo a las penas privativas de libertad impuestas al recurrente, argumentando que de la ejecución se derivan perjuicios irreparables si se estima el recurso de amparo, siendo inexistentes los perjuicios para terceros o el interés general, ya que concurren las circunstancias de que el recurrente está en libertad, tiene 30 años de edad, un hijo de dos años y medio, trabajo estable desde 2015, carece de antecedentes penales, los hechos enjuiciados datan de septiembre de 2013, sin existir dilaciones indebidas imputables al penado, el excesivo rigor de las penas impuestas atendidos los hechos, que se trata de penas cortas privativas de libertad inferiores a cinco años, la satisfacción de las responsabilidades civiles, la satisfacción y reparación de los daños inmediatamente a la instrucción de la causa en el año 2013, su arraigo familiar y la condición de que es padre de un hijo de corta edad cuya madre también está condenada en esta causa y que siempre ha estado a disposición del tribunal sentenciador. Por escrito registrado en este Tribunal el 3 de octubre de 2017, se reiteró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el recurrente.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el recurrente golpeó el micrófono situado en el atril y otro de los condenados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el recurrente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alegan, entre otros motivos, las vulneraciones del derecho a la tutela judicial efectiva (art. 24.1 CE), a un proceso con todas las garantías y a la presunción de inocencia (art. 24.2 CE), por haberse producido una agravación de la condena en segunda instancia en ausencia de inmediación y sin oír al recurrente; del principio acusatorio, por haberse impuesto una condena de distinta naturaleza y pena mayor a la interesada; de la tutela judicial efectiva (art. 24.1 CE) y el principio de legalidad (art. 25.1 CE) por indebida aplicación de la agravante de actuar por motivos ideológicos y la apreciación en los daños del subtipo agravado de ser bienes de dominio o uso público; y a la libertad ideológica (art. 16 CE) y de reunión (art. 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al recurrente y al Ministerio Fiscal el plazo común de tres días naturales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20 de noviembre de 2017, presentó alegaciones en las que, enunciando la doctrina de este Tribunal sobre el particular, interesó la suspensión de la penas privativas de libertad y accesorias de derechos. Argumenta que la denegación de la suspensión causaría al recurrente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escrito registrado el 17 de noviembre de 2017, presentó alegaciones reiterando la solicitud de suspensión por los razonamientos expresados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al recurrente, únicas cuya suspensión ha sido solicitada. En concreto, en dicha sentencia las penas privativas de libertad que se han impuesto al recurrente son (i) la pena de prisión de dos años y diez meses por la comisión de un delito de desórdenes públicos en concurso ideal con impedimento del 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al recurrente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el recurrente ha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garantizar la efectividad del cumplimiento de la pena se procederá en el plazo más breve a resolver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