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21 de noviembre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junio de 2017, la Procuradora de los Tribunales doña Cayetana de Zulueta Luchsinger, en nombre y representación de don Víctor Diego Villalva y don Santiago Cabezuela García, y bajo la dirección del Letrado don Miguel Durán Campos,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61/2016, de 19 de febrero de 2016, dictada en el procedimiento abreviado núm. 313-2015, y se condena a los recurrentes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en lo relativo a las penas privativas de libertad impuestas a los recurrentes, argumentando que de la ejecución se derivan perjuicios irreparables si se estima el recurso de amparo, siendo inexistentes los perjuicios para terceros o el interés general, ya que concurren las circunstancias de que las penas impuestas son inferiores a los cinco años, los recurrentes están en libertad y carecen de antecedentes penales, no existen riesgo para las víctimas que, además, se han visto reparadas en los daños producidos, contando con arraigo que ha provocado que durante la causa no se hayan adoptado medidas cautelares de naturaleza personal, habiéndose estado en todo momento a disposición del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los recurrentes.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alegan, entre otros motivos, las vulneraciones del derecho a un proceso con todas las garantías (art. 24.2 CE), por haberse producido una agravación de la condena en segunda instancia en ausencia de inmediación y sin oír al recurrente; y del principio acusatorio, por haberse impuesto una condena de distinta naturaleza y pena mayor a la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los recurrentes y al Ministerio Fiscal el plazo común de tres días naturales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los recurrentes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por escrito registrado el 17 de noviembre de 2017, presentaron alegaciones reiterando la solicitud de suspensión por los razonamientos expresados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los recurrentes, únicas cuya suspensión ha sido solicitada. En concreto, en dicha Sentencia las penas privativas de libertad que se han impuesto a los recurrentes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la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los recurrentes han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fin de garantizar la efectividad del cumplimiento de la pena se procederá en el plazo más breve a resolver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