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2017, la procuradora de los tribunales doña Begoña del Arco Herrero, en nombre y representación de don José Pedro Cruz Sanz, don Javier Marcos Aroca, don Sergio Reguilon Fumero, don Manuel Andrino Lobo y don Jesús Fernando Fernández Gil, y bajo la dirección del Letrado don Santiago Miláns del Bosch,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 los cuatro primeros recurrentes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Además, al recurrente don Javier Marcos Aroca, por una falta de maltrato de obra a la pena de diez días de multa con cuota diaria de 10 € y responsabilidad personal subsidiaria en caso de impago de la multa de un día de privación de libertad por cada dos cuotas de la multa no abonadas. Al quinto recurrente, don Jesús Fernando Fernández Gil, se le condena por un delito de desórdenes públicos en concurso ideal con impedimento del derecho de reunión con la agravante de obrar por motivos de discriminación ideológica a la pena de prisión de dos años y once meses con la accesoria de inhabilitación especial para el derecho de sufragio pasivo durante el periodo de la condena; por un delito de daños ocasionados en bienes de propiedad pública con las agravantes de obrar por motivos discriminatorios ideológicos y de reincidencia y la atenuante de reparación del daño a la pena de prisión de un año y dos meses y multa de dieciocho meses con cuota diaria de 10 € y responsabilidad personal subsidiaria en caso de impago de la multa de un día de privación de libertad por cada dos cuotas de la multa no abonadas; y por una falta de maltrato de obra a la pena de diez días de multa con cuota diaria de 10 € y responsabilidad personal subsidiaria en caso de impago de la multa de un día de privación de libertad por cada dos cuotas de la multa no abonadas. A todos ellos, además, se les condena al pago de las 2/79 partes de las costas del juicio, incluidas las de las acusaciones particulares y al pago conjunto y solidario de responsabilidades civiles en las cantidades de 1.372,14 € y 94,2 € para dos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en lo relativo a las penas privativas de libertad impuestas a los recurrentes, argumentando que de la ejecución se derivan perjuicios irreparables si se estima el recurso de amparo, siendo inexistentes los perjuicios para terceros o el interés general, ya que concurren las circunstancias de que las penas impuestas son inferiores a los cinco años y los recurrentes han abonado las multas y responsabilidades civiles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los recurrentes.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los recurrentes don Javier Marcos Aroca y don Jesús Fernando Fernández Gil, empujaron y derribaron al suelo a uno de los asistentes, diputado en el Congreso de los Diputados, sin que constara que conocieran su identidad. En el estrado el recurrente don Jesús Fernando Fernández Gil arrojó al suelo de un manotazo la señera, otro de los condenados golpeó el micrófono situado en el atril y otro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entre otros motivos, las vulneraciones del derecho a un proceso con todas las garantías (art. 24.2 CE), por haberse producido una agravación de la condena en segunda instancia en ausencia de inmediación y sin oír a los recurrentes; del derecho a la legalidad penal (art. 25.1 CE) por haberse aplicado la concurrencia de concurso ideal entre los delitos de desórdenes públicos y el de impedir el derecho de reunión y por la aplicación de la agravante ideológica; del principio acusatorio, por haberse impuesto una condena de distinta naturaleza y pena mayor a la interesada; a la libertad ideológica (art. 16 CE) y de reunión (art. 21 CE); y del derecho a la tutela judicial efectiva (art. 24.1 CE) por la condena en costas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los recurrentes y al Ministerio Fiscal el plazo común de tres días naturales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los recurrentes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por escrito registrado el 17 de noviembre de 2017, presentaron alegaciones reiterando la solicitud de suspensión por los razonamientos expresados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 los recurrentes, únicas cuya suspensión ha sido solicitada. En concreto, en dicha Sentencia las penas privativas de libertad que se han impuesto a los recurrentes don José Pedro Cruz Sanz, don Javier Marcos Aroca, don Sergio Reguilon Fumero, don Manuel Andrino Lobo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 Por su parte las penas impuestas al recurrente don Jesús Fernando Fernández Gil son (i) la pena de prisión de dos años y once meses por la comisión de un delito de desórdenes públicos en concurso ideal con impedimento del derecho de reunión con la agravante de obrar por motivos de discriminación ideológica; y (ii) la pena de prisión de un año y dos meses por la comisión de un delito de daños ocasionados en bienes de propiedad pública con las agravantes de obrar por motivos discriminatorios ideológicos y de reincidencia y la atenuante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los recurrentes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los recurrentes han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garantizar la efectividad del cumplimiento de la pena se procederá en el plazo más breve a resolver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