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21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junio de 2017, el Procurador de los Tribunales don Antonio Esteban Sánchez, en nombre y representación de don Pablo Pavón Cadierno, y bajo la dirección del Letrado don Ignacio Gordillo Álvarez Valdés y de la Letrada doña Ana Blanco Vázquez de Prada, interpuso recurso de amparo contra el Auto de la Sala de lo Penal del Tribunal Supremo de 4 de mayo de 2017, por el que se desestima el incidente de nulidad de actuaciones interpuesto contra la Sentencia núm. 983/2016, de 11 de enero de 2017 —aclaradas por Auto de 7 de febrero de 2017—, por las que se estima el recurso de casación núm. 722-2016 interpuesto contra la Sentencia de la Sección Trigésima de la Audiencia Provincial de Madrid núm. 61/2916, de 19 de febrero de 2016, dictada en el procedimiento abreviado núm. 313-2015, y se condena al recurrente por un delito de desórdenes públicos en concurso ideal con impedimento del derecho de reunión con la agravante de obrar por motivos de discriminación ideológica a la pena de prisión de dos años y diez meses con la accesoria de inhabilitación especial para el derecho de sufragio pasivo durante el periodo de la condena; por un delito de daños ocasionados en bienes de propiedad pública con la agravante de obrar por motivos discriminatorios ideológicos y la atenuante de reparación del daño a la pena de prisión de un año y un mes y multa de catorce meses con cuota diaria de 10 € y responsabilidad personal subsidiaria en caso de impago de la multa de un día de privación de libertad por cada dos cuotas de la multa no abonadas; al pago de las 2/79 partes de las costas del juicio, incluidas las de las acusaciones particulares; y al pago conjunto y solidario de responsabilidades civiles en las cantidades de 1.372,14 € y 94,2 € para dos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resolución judicial impugnada, argumentando que de la ejecución se derivan perjuicios irreparables si se estima el recurso de amparo, siendo inexistentes los perjuicios para terceros o 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probados en que se fundamenta la condena cuya suspensión se solicita fueron que el 11 de septiembre de 2013, la Delegación del Gobierno de la Generalitat de Cataluña ante el Gobierno del Estado organizó un acto oficial para celebrar la Diada en el centro cultural Blanquerna, propiedad de la Generalitat. El acto comenzaba a las 19:30 horas y su celebración se difundió por las redes sociales. Un grupo de personas afiliadas o simpatizantes de Democracia Nacional, Falange, Nudo Patriota Español y Alianza Nacional convocó una protesta, para lo que convinieron reunirse en la puerta del citado centro. Se congregaron unas 200 personas y cuando el Delegado de la Generalitat se dirigía al atril para tomar la palabra y presentar el acto, accedió al local un grupo de las personas que estaban congregadas afuera, entre ellas el recurrente. Con la finalidad de impedir la celebración del acto, actuando de forma conjunta, accedieron en tropel a la planta a pie de calle, donde se encuentra la librería abierta al público, y rompieron la puerta automática de cristal de entrada causando daños tasados en 1.372,14 €. Desde ella descendieron por las escaleras a la planta inferior, donde se iba a desarrollar el acto, coreando “no nos engañan Cataluña es España”. El grupo se fue abriendo paso hacia el atril entre los asistentes, que se apartaban, pero en un instante empujaron y derribaron al suelo a uno de los asistentes, diputado en el Congreso de los Diputados, sin que constara que conocieran su identidad. En el estrado uno de los condenados arrojó al suelo de un manotazo la señera, otro golpeó el micrófono situado en el atril y otro de los condenados arrojó al suelo el atril, ante el que se mantenía el Delegado de la Generalitat, cuya identidad desconocía, y a él se dirigió con insultos relativos a su condición de catalán y amenazas de muerte, que le obligaron a retroceder. Otro de los asistentes fue escupido y recibió una patada. Tras poco más de un minuto, el grupo abandonó el local. Uno de sus integrantes arrojó un espray irritante que provocó picores, irritación, náuseas y otros menoscabos en los asistentes, lo que obligó a suspender el acto. Cuando el grupo estaba saliendo de la sala, otro de los condenados dio un manotazo a la cámara con la que grababa el acto un trabajador de TV3, que al impactar contra su cuerpo le obligó a efectuar un movimiento brusco que le produjo contusión postraumática en el hombro derecho, de la que curó en nueve días con una primera asistencia facultativa.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alegan, entre otros motivos, las vulneraciones del derecho a la tutela judicial efectiva (art. 24.1 CE), y a la presunción de inocencia (art. 24.2 CE), por haberse producido una agravación de la condena en segunda instancia en ausencia de inmediación y sin oír al recurrente y haberse apreciado la concurrencia del elemento subjetivo o 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16 de noviembre de 2017, acordó la admisión a trámite de la demanda de amparo,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la formación de pieza separada para la tramitación del incidente sobre la suspensión solicitada, concediendo al recurrente y al Ministerio Fiscal el plazo común de tres días naturales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20 de noviembre de 2017, presentó alegaciones en las que, enunciando la jurisprudencia de este Tribunal sobre el particular, interesó la suspensión de la penas privativas de libertad y accesorias de derechos. Argumenta que la denegación de la suspensión causaría al recurrente un perjuicio irreparable o de muy difícil restitución que podría hacer perder al amparo su finalidad por tratarse de unas penas que acumuladas no superan los cinco años de prisión y que no cabe apreciar una perturbación grave a los intereses generales o derechos fundamentales o libertades públicas de un tercero, más allá del genérico que toda inejecución de una resolución judicial supone, constatándose la circunstancia de arraigo a los efectos de valorarse el posible interés en sustraerse a la acción de la justicia. Por el contrario, considera que no debe accederse a suspender la condena a las penas de multa y al pago de las costas procesales por su carácter de consecuencia jurídica de carácter económico que son susceptibles de reparación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escrito registrado el 17 de noviembre de 2017, presentó alegaciones reiterando la solicitud de suspensión por los razonamientos expresados en la demanda de amparo, si bien limitado a la condena de la pena privativa de libertad y accesoria de derechos.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analizar la solicitud de suspensión de la ejecución de la segunda Sentencia de la Sala de lo Penal del Tribunal Supremo núm. 983/2016, de 11 de enero de 2017 —aclarada por Auto de 7 de febrero de 2017—, en lo relativo a las penas privativas de libertad que se imponen al recurrente, únicas cuya suspensión ha sido solicitada. En dicha Sentencia las consecuencias jurídicas impuestas al recurrente han sido (i) la pena de prisión de dos años y diez meses con la accesoria de inhabilitación especial para el derecho de sufragio pasivo durante el periodo de la condena por la comisión de un delito de desórdenes públicos en concurso ideal con impedimento del derecho de reunión con la agravante de obrar por motivos de discriminación ideológica; (ii) la pena de prisión de un año y un mes y multa de catorce meses con cuota diaria de 10 € y responsabilidad personal subsidiaria en caso de impago de la multa de un día de privación de libertad por cada dos cuotas de la multa no abonadas por la comisión de un delito de daños ocasionados en bienes de propiedad pública con la agravante de obrar por motivos discriminatorios ideológicos y la atenuante de reparación del daño; (iii) el pago de las 2/79 partes de las costas del juicio, incluidas las de las acusaciones particulares; y (iv) el pago conjunto y solidario de responsabilidades civiles en las cantidades de 1.372,14 € y 94,2 € para dos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56.1 de la Ley Orgánica del Tribunal Constitucional (LOTC) dispone que la interposición de un recurso de amparo no suspenderá los efectos del acto o Sentencia impugnados, concretando el artículo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94/2015, de 25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El carácter prevalente y especialmente preciado de este derecho impone que cualquier decisión respecto de la suspensión de la ejecución efectiva de cualquier restricción, limitación y privación del mismo deba ser adoptada con un singular cuidado y respeto al principio de proporcionalidad en atención a que “la libertad constituye un derecho cuya naturaleza convierte el perjuicio irrogado en irreparable, en caso de estimarse el amparo una vez cumplida parcial o totalmente la pena” (ATC 291/2014, de 1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ese modo, este Tribunal ha establecido que en el marco de los recursos de amparo la decisión que debe adoptar de suspensión de las resoluciones judiciales que imponen penas privativas de libertad constituye un juicio complejo en que hay que tomar en consideración diversos factores como son (i) la gravedad y naturaleza de los hechos enjuiciados en atención al bien jurídico protegido y su trascendencia social; (ii) la duración de la pena impuesta; (iii) el tiempo que reste de cumplimiento de la misma; y (iv) la concurrencia de riesgos sobre la efectividad de la acción de la Justicia y la posible desprotección de las víctimas. Entre estos factores, este Tribunal ha destacado que tiene especial relevancia el referido a la duración de la pena impuesta, pues es un criterio que expresa de forma sintética la reprobación que el ordenamiento asigna al hecho delictivo —la importancia del bien jurídico tutelado, la gravedad y trascendencia social del delito— y, en consecuencia, la magnitud del interés general en su ejecución. Así, este Tribunal ha adoptado como una directriz general que la pena se sitúe por encima o por debajo de la frontera de los cinco años de prisión, por ser el límite que ha establecido el propio legislador penal para diferenciar entre las penas graves y las menos graves (art. 33 del Código penal); así, por ejemplo, AATC 52/2017, de 18 de abril, FJ 1, o 35/2017, de 27 de febrero, FJ 2. Del mismo modo, este Tribunal también ha afirmado que la suspensión de la pena privativa de libertad debe conllevar la suspensión de las penas accesorias de inhabilitación que lleven a aparejadas (AATC 52/2017, de 18 de abril, FJ 1, o 49/2016, de 29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de acuerdo con lo también defendido por el Ministerio Fiscal, concurren los requisitos que exige la jurisprudencia constitucional para otorgar la suspensión de la ejecución en cuanto a las penas privativas de libertad y las penas accesorias a las establecidas legalmente para la imposición de las penas privativas de libertad. Su ejecución puede ocasionar al recurrente perjuicios irreparables que harían perder al amparo su finalidad tanto por afectar al valor fundamental de la libertad como porque el resto de circunstancias concurrentes en el caso permiten apreciar que la suspensión no ocasiona una perturbación grave a un interés constitucionalmente protegido ni a los derechos fundamentales o libertades públicas de otra persona. Al margen de la perturbación de la función jurisdiccional que en sí mismo entraña la suspensión de la ejecución de una resolución judicial, no se acreditan riesgos ciertos sobre la efectividad de la acción de la Justicia, ya que el recurrente ha estado a plena disposición de los órganos judiciales, que no adoptaron ninguna medida cautelar de naturaleza personal durante la tramitación de la causa que permita ahora concluir que el eventual aplazamiento en el cumplimiento de la pena que implica una suspensión mientras se tramita el recurso de amparo pueda hacer ineficaz el pronunciamiento condenatorio en caso de ser rechazado el recurso de amparo. También consta que se ha hecho frente al pago de las responsabilidades civiles fijadas y hubo lugar a la aplicación de la atenuación de reparación del daño.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fin de garantizar la efectividad del cumplimiento de la pena se procederá en el plazo más breve a resolver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segunda Sentencia de la Sala de lo Penal del Tribunal Supremo núm. 983/2016, de 11 de enero de 2017 —aclarada por Auto de 7 de febrero de 2017—, dictada en el recurso de casación núm. 722-2016, exclusivamente en lo referido a las penas privativas de libertad y accesorias a las mismas impuestas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