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5 de marzo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5685-2016, promovido por don César Rodríguez Vázquez, representado por la Procuradora de los Tribunales doña Laura-Argentina Gómez Molina y asistido por el Abogado don Andrés Aguilera Herrera, contra el Auto de 21 de julio de 2016 de la Sala de lo Penal del Tribunal Supremo, que desestimó la pretensión de declaración de prescripción del delito por el que el recurrente fue condenado, manteniendo en sus propios términos la Sentencia núm. 749/2015 de la misma Sala, de 13 de noviembre de 2015, que condenó al recurrente como autor de un delito de blanqueo de capitales imprudente tras estimar el recurso de casación núm. 601-2015, planteado contra la Sentencia de la Sección Segunda de la Sala de lo Penal de la Audiencia Nacional, de 16 de febrero de 2015, dictada en el procedimiento abreviado núm. 192-2011.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octubre de 2016, la Procuradora de los Tribunales doña Laura-Argentina Gómez Molina, en nombre y representación de don César Rodríguez Vázquez y bajo la dirección del Letrado don Andrés Aguilera Herrera, interpuso demanda de amparo contra las resoluciones que se mencionan en el encabezamiento de esta Sentencia. Por otrosí se solicitó la suspensión de la ejecución de la pena impuesta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Sentencia de la Sección Segunda de la Sala de lo Penal de la Audiencia Nacional de 16 de febrero de 2015 como autor de un delito de blanqueo de capitales doloso (art. 301 del Código penal: CP según redacción al tiempo de los hechos, previa a la reforma operada por la Ley Orgánica 5/2010), sin circunstancias modificativas de su responsabilidad, a la pena de tres años y tres meses de prisión, con la accesoria de inhabilitación para el derecho de sufragio pasivo durante el tiempo de la condena, y multa de 120.000 €, así como al pago de las costas que le correspondiesen. El resto de acusados fue condenado a las penas solicitadas en el escrito de modificación de conclusiones presentado al comienzo de la vista del juicio, con las que los mismos habían manifestado su conformidad. Uno de ellos lo fue como autor de un delito imprudente de blanqueo y el resto, como autores de un delito de blanqueo doloso.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probados refieren la existencia de un entramado familiar organizado a lo largo de los años (al menos desde el año 2000) para blanquear los beneficios procedentes del tráfico de drogas al que se dedicaba alguno de sus miembros. El lavado del dinero obtenido de dicho tráfico ilícito se llevaba a cabo a través de una estructura compleja en la que se distingue una trama personal y otra empresarial. La trama personal, que se identifica como el clan o grupo familiar “Ferramache”, se componía de un núcleo principal que constituía la estructura propiamente relacionada con la actividad de blanqueo de capitales, integrado por diversos parientes, que, cuando lo consideraban necesario, recurrían a los servicios prestados como testaferros por los demás acusados, algunos con vínculos familiares y otros no, terceros entre los que se sitúa al demandante de amparo. La trama empresarial se integraba por las sociedades constituidas por todos o algunos de los componentes del núcleo principal de la trama personal, que, a su vez, también se valía del grupo de testaferros. En los hechos probados de la Sentencia de la Audiencia Nacional se describe asimismo la actividad económica susceptible de integrar el delito de blanqueo de capitales, constando que tiene lugar mediante la realización de numerosas operaciones entre los años 2002 y 2011, incoándose diligencias previas por el Juzgado de Instrucción núm. 1 de Sanlúcar la Mayor el 28 de junio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recurrente, los hechos probados lo sitúan dentro del entramado entre las “personas físicas con tipología propia de testaferro”, pero no como miembro de “la estructura propiamente relacionada con la actividad de blanqueo de capitales”. Su contribución al blanqueo se detalla en el siguiente episodio: a pesar de sus escasos ingresos (revisados de 2002 a 2010), cuyo importe en el año 2003 no alcanzó los 15.000 €, compró el 14 de agosto de 2003, mediante el otorgamiento de la escritura pública correspondiente, una finca rústica con vivienda en el precio de 150.000 €, que vendió, también en escritura pública, el 27 de octubre de 2004 y en el precio de 180.000 € a María Dulcinea Canela Vázquez, una de las acusadas integrante de la estructura para blanquear, que protagoniza acciones de lavado anteriores y posteriores a la mencionada operación mercantil. Según se expone en el relato fáctico, fue esa acusada la que facilitó al señor Rodríguez Vázquez el dinero, procedente del comercio ilícito de la droga, necesario para que hiciera frente al pago de las cantidades que se debían abonar hasta que ella figurase como titular de la finca, lo que ocurrió más de un año después, si bien la ocupó en los quince días siguientes a su adquisición por el demandante. No hay referencia o mención al recurrente en el extenso relato fáctico adicional al episodio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demandante de amparo interpuso recurso de casación contra dicha Sentencia alegando, como primer motivo, la vulneración del derecho a la presunción de inocencia, por no haberse probado que conociera la procedencia del dinero con el que se pagó la finca; y, como segundo motivo, en conexión con tal desconocimiento y con carácter subsidiario para el caso de que no se absolviera, la inaplicación del artículo 301.3 CP, que tipifica el delito imprudente de blanqueo de capitales. En el párrafo final del segundo motivo se añade que esa calificación debía llevar igualmente a la absolución “por encontrarse el delito imprudente prescrito al haber transcurrido más de tres años ex artículo 131.1 del Código Penal anterior a la reforma de la L.O 5/2010, de 22 de junio que entró en vigor el día 23 de diciembre de 2010; o haber transcurrido 5 años si se quiere aplicar la reforma en base al artículo 131.1, párrafo 4 del Código Penal”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de la Sala de lo Penal del Tribunal Supremo de 13 de noviembre de 2015 se estimó el recurso de casación del recurrente, al entender que está acreditado que el dinero para la adquisición de la finca fue aportado por la compradora final y procedía del tráfico de drogas, pero no lo está el conocimiento del origen ilícito del dinero por el demandante. El Tribunal dictó segunda Sentencia en la que le condenó como autor de un delito de blanqueo de capitales en su modalidad impudente (art. 301.3 CP) a la pena de un año de prisión, con la accesoria de inhabilitación especial para el derecho de sufragio pasivo durante el tiempo de la condena, y multa de 120.000 €, con doce días de arresto personal subsidiario en caso de impago, así como al pago de las costas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14 de enero de 2016 la representación procesal del demandante de amparo solicitó la aclaración o la integración de la Sentencia anterior para que se declarase la prescripción del delito planteada en el recurso de casación, ya que, habiendo sido condenado por un delito imprudente de blanqueo de capitales, habían transcurrido más de tres o cinco años desde su comisión cuando se inició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denegó por Auto de 5 de febrero de 2016 la aclaración solicitada por el condenado. En él se argumenta que, “ningún motivo propuso con el alcance casacional preciso acerca de tal cuestión, limitándose el recurrente a solicitar ‘por infracción de ley a tenor del artículo 849, número 1 de la LECrim, por inaplicación del artículo 301.3 del Código Penal’, esto es, solicitaba la subsunción de su conducta como delito de blanqueo imprudente. Únicamente, al final del desarrollo del motivo, adujo el transcurso de más de tres o cinco años, sin conectar tal invocación con ámbito temporal alguno, es decir, sin establecer cuál sería ni el dies a quo ni el dies ad quem. Siendo ello así, en la sentencia recurrida, y obsérvese que el motivo ha sido formalizado por estricta infracción de ley, no consta elemento temporal alguno de donde deducir la prescripción del delito. Al contrario, existen referencias a ‘una exhaustiva investigación patrimonial por el Servicio de Vigilancia Aduanera de Sevilla, en unión con la Guardia Civil’ (página 5 de la sentencia recurrida). Además, el delito por el que ha sido condenado el recurrente se enmarca dentro de una inmensa operación de investigación sobre actividades de blanqueo de capitales, con multitud de acusados, la mayoría de los cuales resultaron condenados por su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22 de febrero de 2016, la representación procesal del demandante de amparo promovió un incidente de nulidad de actuaciones para reparar la vulneración de los derechos fundamentales de su defendido que guardan relación con la denegación de la prescripción del delito por el que fue condenado conforme a las normas vigentes al tiempo de cometerse los hechos (art. 17, 24.1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4 de abril de 2016, se estimó el incidente de nulidad de actuaciones, en tanto “la prescripción actúa a favor del reo en cualquier momento del proceso, y es incluso acogible de oficio”, y se acordó declarar la nulidad parcial de la Sentencia y dar traslado a la parte promotora y al Ministerio Fiscal para que se pronunciaran sobre el exclusivo aspecto de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del Tribunal Supremo de 21 de julio de 2016, notificado el 15 de septiembre de 2016, se rechazó finalmente la prescripción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motivación de esa decisión, la Sala señala que la improsperabilidad de la petición de prescripción entronca con el hecho de que la conducta del recurrente “se enmarca en una compleja investigación, de la que resultan condenadas siete personas y disueltas ocho sociedades mercantiles junto a los decomisos que se decretan”. A su juicio, el relato de hechos probados muestra que, aunque formalmente la conducta del recurrente se refiere a la operación de compra y posterior venta en octubre de 2004, los hechos se enmarcan entre los años 2002 a 2010, pues así lo indica la referencia en él a que “en los hechos que van de 2002 a 2010, los únicos ingresos que le constan...”, que carecería de sentido en relación con la operación aislada de 2004 y que viene avalada por la afirmación también contenida en el factum de que dentro del entramado actuó como testaferro del grupo. Asimismo en atención a esa complejidad, el Tribunal Supremo hace suya expresamente “la acertada argumentación del Ministerio Fiscal para solicitar el rechazo del motivo ‘de plano’, y ello con amplia cita jurisprudencial (Sentencias, entre otras, 984/2013, de 17 de diciembre de 2013, 1 de febrero de 1999 y 26 de marzo de 2013), en tanto que ‘el planteamiento del recurrente adolece del error de entender su conducta aisladamente, prescindiendo del hecho probado que incardina su actuación, en la realizada por los otros acusados y más concretamente por Dulce Canela Vázquez, lo que determina la conexidad de delitos que obsta para la apreciación de la prescripción que se interesa’, citando, al efecto, nuestro Acuerdo Plenario de 26 de octubre de 2010. Y ello tanto desde la perspectiva de que no puede considerarse aisladamente la conducta del señor César Rodríguez Vázquez, como desde el plano de la conexidad procesal con la que ha sido juzgado todo ese complejo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plantea como motivo único de amparo la vulneración del derecho a la tutela judicial efectiva del artículo 24.1 CE y del derecho a la legalidad penal del artículo 25.1 CE en conexión con el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pone de manifiesto que, conforme al artículo 132.1 CP, la prescripción penal se inicia con la fecha de comisión del delito y que se le ha condenado por una única operación de blanqueo, realizada el 27 de octubre de 2004, fecha en la que vende la finca con vivienda a una de las acusadas. Desde esa constatación concluye que el delito de blanqueo imprudente estaría ostensiblemente prescrito con base en el plazo de prescripción de tres años del artículo 131.1 CP entonces vigente, incluso si se fija el momento de interrupción de la prescripción en el inicio de las diligencias previas, 28 de junio de 2011, aun cuando solo más adelante aparece en las mismas. A su entender, la toma como referencia para computar el plazo de prescripción del margen temporal entre 2002 y 2010 es contraria a la tutela judicial efectiva y al principio de legalidad en conexión con el derecho a la libertad, citando numerosa jurisprudencia constitucional. En primer lugar, porque no hay pruebas de que su intervención se extendiera más que a la operación puntual de compraventa, sin que los hechos probados refieran otra actuación de blanqueo por su parte, como sí se recoge respecto a otros condenados. En segundo lugar, porque no es de recibo, conforme la prohibición constitucional de interpretar las normas sobre prescripción en contra de reo, atender para fijar el dies a quo o para ampliar el plazo de prescripción a lo que otras personas con las que no tiene nada que ver hayan realizado durante ese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 la demanda se identifica con la ocasión que ofrece al Tribunal para aclarar o cambiar su doctrina, como consecuencia de un proceso de reflexión interna, respecto al hecho de que una persona que únicamente ha cometido una acción de forma aislada en un entramado delictivo tenga que sufrir la aplicación del cómputo del plazo de prescripción partiendo del acto cronológico último que hayan cometido otras personas con las que no tenía relación alguna. Se pone en relación ese supuesto con el que analizó la STC 37/2010, de 19 de julio, que fija como infracción que ha de ser tenida en cuenta para fijar el plazo de prescripción aquella por la que finalmente se condena, al margen de las calificaciones manejadas en el procedimiento. Se subraya específicamente la afirmación entonces vertida de que “[d]e lo contrario, se haría recaer y soportar sobre la persona sometida a un proceso penal los plazos de prescripción correspondientes a una infracción penal que no habría cometido y de la que, por lo tanto, tampoco habría de ser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 La Sección Cuarta de este Tribunal, por providencia de 9 de marzo de 2017, acordó admitir a trámite la demanda de amparo tras apreciar que ofrece especial trascendencia constitucional (art. 50.1 de la Ley Orgánica del Tribunal Constitucional: LOTC) porque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artículo 51 LOTC, también se acordó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providencia se acordó asimismo la formación de la pieza separada de suspensión. Por Auto de 18 de abril de 2017, la Sala Segunda de este Tribunal acordó suspender la ejecución de la pena privativa de libertad de un año de prisión y la accesoria de privación del derecho de sufragio pasivo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16 de mayo de 2017, acordó dar vista de las actuaciones a la parte recurrente y al Ministerio Fiscal por plazo común de veinte días para presentar las alegaciones que estimasen pertinentes, de conformidad con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escrito registrado 19 de junio de 2017, presentó alegaciones en las que se ratifica íntegramente en su demanda de amparo, que da por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escrito registrado el 20 de junio de 2017, interesó que se otorgara el amparo por vulneración de los derechos a la tutela judicial efectiva (art. 24.1 CE), en relación con el derecho a la libertad (art. 17.1 CE) y con el derecho a la legalidad penal (art. 25.1 CE), anulando los Autos de la Sala Segunda del Tribunal Supremo de 5 de febrero y de 21 de julio de 2016 y retrotrayendo las actuaciones al momento inmediatamente anterior a que se dictara el primero de dichos Autos, que entiende impugnado aunque no se recurriera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resulta jurídicamente irrelevante el argumento aducido en los dos Autos de que el condenado no articuló un motivo de casación específico sobre la prescripción, por cuanto se trata de una cuestión susceptible de ser apreciada de oficio, sin que sea precisa su previa petición o alegación. Descarta también de raíz que pueda dar cobertura a la decisión de rechazarla, regida por el principio de legalidad, la aplicación invocada en el Auto denegatorio de doctrina jurisprudencial o de una decisión emanada de un Pleno no jurisdiccional de la Sala Segunda del Tribunal Supremo, como si fuesen de aplicación preferente a la legislación reguladora de la materia. Por último y con más detenimiento, manifiesta la inadecuación de los razonamientos ofrecidos en el Auto de 21 de julio de 2016 que apelan a la complejidad de los hechos en los que participó el demandante de amparo y atienden al dato de que hayan sido objeto de un solo procedimiento o de que exista una relación de conexión entre las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recuerda que las reglas sobre prescripción reflejan una autolimitación o renuncia del Estado al ejercicio del ius puniendi que viene definido en el régimen legal vigente (arts. 131 y 132 CP), sin que sea posible la utilización de criterios interpretativos que extiendan el alcance de la ley más allá de los casos previstos en la misma, como se establece en el artículo 4.1 CP. La duración de dichos plazos depende de la gravedad de la pena con la que esté conminada la ejecución del delito en cada caso, con las únicas excepciones previstas en la ley de los supuestos de concurso o de infracciones conexas (art. 131.4 CP) y de delito continuado, permanente o habitual (art. 132.1 CP). En tal medida, no considera admisible justificar la aplicación al autor de un delito imprudente del plazo de prescripción previsto para el mismo delito cometido dolosamente, de mayor duración conforme a la ley, por el hecho de que la actuación del recurrente se hizo en favor de una de las integrantes del grupo, condenada por delito doloso de blanqueo. Tampoco entiende que pueda justificarse el rechazo a la prescripción por el hecho de que el entramado personal de blanqueo estuviera actuando durante años y se haya calificado al demandante de amparo como testaferro en ese grupo, fijando el dies a quo en el momento de los últimos hechos objeto de la investigación policial (2011), porque no consta probado que el mismo interviniera en hechos posteriores a los otorgamientos de escritura pública de compra y de venta que tuvieron lugar en los años 2003 y 2004 respectivamente. Y esas carencias, remarca, no pueden suplirse por la referencia a la unidad procedimental o a la complejidad de la investigación, de la que no cabe extraer consecuencias para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descarta la referencia a la relación de conexión entre las infracciones que constituyen el objeto del proceso como elemento determinante de un régimen particular de prescripción conforme al artículo 131.4 CP en su redacción actual, antes en el artículo 131.5 CP, que obliga a tomar el plazo correspondiente al delito más grave, puesto que no existe tal conexidad en el caso. A su juicio, para que pueda hablarse de conexión procesal, el artículo 17 de la Ley de enjuiciamiento criminal exige la existencia de dos o más infracciones o hechos punibles, con independencia del número de hechos naturales que integren el objeto del proceso, pero en el presente asunto se entendió que la multiplicidad de hechos registrados en el relato fáctico integraba un solo delito de blanqueo de capitales, por lo que no es posible hablar de conexión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marzo de 2018, se señaló para deliberación y fallo de la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recurso de amparo el Auto de Sala de lo Penal del Tribunal Supremo de 21 de julio de 2016 (recurso de casación núm. 601-2015), que desestimó la pretensión de declaración de prescripción del delito de blanqueo imprudente por el que el recurrente fue condenado por Sentencia de la misma Sala de 13 de noviembre de 2015, tras estimarse el recurso de casación planteado contra la Sentencia de la Sección Segunda de la Sala de lo Penal de la Audiencia Nacional de 16 de febrero de 2015, dictada en el procedimiento abreviado núm. 192-2011.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vulnerado su derecho a la tutela judicial efectiva (art. 24.1 CE) en relación con el derecho a la libertad (art. 17 CE) y con el derecho a legalidad penal (art. 25.1 CE), en tanto se denegó que el delito por el que fue condenado hubiera prescrito con argumentos carentes de respaldo en los hechos probados y en los preceptos legales que regulan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solicitado por vulneración de los derechos invocados, ya que el criterio interpretativo sostenido por el Tribunal Supremo —que supuso aplicar el régimen de la prescripción de las infracciones conexas a quien había sido condenado por delito imprudente junto a otras personas que participaron en forma dolosa en la ejecución del mismo delito— no puede entenderse amparado en la literalidad de la norma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de amparo se contrae a determinar si, como sostiene el demandante, con apoyo del Ministerio Fiscal, el Tribunal Supremo vulneró su derecho a la tutela judicial efectiva (art. 24.1 CE) en relación con los derechos a la libertad (art. 17 CE) y a la legalidad penal (art. 25.1 CE) al denegar su pretensión de prescripción del delito por el que fue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entendimiento de la figura de la prescripción acogido en la STC 157/1990, de 18 de octubre, la STC 63/2001, de 17 de marzo, fijó el canon de enjuiciamiento constitucional aplicable en el examen de las decisiones aplicativas de la prescripción del delito, y junto a las posteriores SSTC 63/2005, de 14 de marzo, y 29/2008, de 20 de febrero, diseñan el marco de la actual doctrina constitucional sobre la institución. Al respecto se ha pronunciado después este Tribunal en numerosas ocasiones (entre otras muchas, y por citar algunas recientes SSTC 32/2013, de 11 de febrero; 51/2016, de 14 de marzo, o 138/2016, de 18 de julio). Existe también un importante número de resoluciones que trasladan con las debidas peculiaridades la concepción constitucional sobre la prescripción del delito a la prescripción de la pena (por todas, SSTC 97/2010, de 15 de noviembre, y 81/2014, de 28 de mayo), de la que se ha ocupado más intensamente este Tribunal en los últimos tiempos (entre otras, SSTC 63/2015, de 13 de abril; 12/2016, de 1 de febrero, o 14/2016, de 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su dilatada vigencia, conviene recordar la doctrina constitucional sentada por este Tribunal acerca del alcance del control externo que puede ejercer sobre las resoluciones judiciales dictadas en materia de prescripción del delito, y hacerlo de la mano de la STC 37/2010, traída por el recurrente y que sintetiza la doctrina relativa a la prescripción de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apreciación en cada caso concreto de la prescripción como causa extintiva de la responsabilidad criminal es, en principio, una cuestión de legalidad que corresponde decidir a los tribunales ordinarios y que carece, por su propio contenido, de relevancia constitucional. No obstante, la aplicación de dicho instituto en el caso concreto puede ser objeto de examen constitucional en sede de amparo, porque la prescripción penal supone una autolimitación o renuncia del Estado al ius puniendi por el transcurso del tiempo, que encuentra también fundamento en principios y valores constitucionales, pues toma en consideración la función de la pena y la situación del presunto inculpado, su derecho a que no se dilate indebidamente la situación que supone la virtual amenaza de una sanción penal, con una justificación constitucional propia en el principio de seguridad jurídica (STC 37/2010, FJ 2; con cita de las SSTC 63/2005, de 14 de marzo, FJ 2; 29/2008, de 20 de febrero, FJ 7, y 79/2008, de 14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canon aplicable para proceder, en su caso, a la revisión de una decisión judicial sobre prescripción es el propio del artículo 24 CE, si bien, dada la trascendencia de los valores constitucionales en juego en la aplicación del Derecho penal, el estándar de las exigencias derivadas del deber de motivación es más riguroso en estos casos al afectar a los derechos fundamentales a la libertad y a la legalidad penal de quien invoca la causa extintiva de la responsabilidad penal (por todas, STC 63/2001, FJ 7). La decisión que desestima una pretensión de prescripción de una infracción penal debe contener un razonamiento expresivo de los elementos tomados en cuenta por el órgano judicial al interpretar las normas relativas a la institución —que, por otra parte, distan mucho de ser diáfanas—, en el entendimiento de que esa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que sea respetuosa con los fines perseguidos por el instituto de la prescripción penal (STC 37/2010, FJ 2, con cita de las SSTC 63/2005, de 14 de marzo, FJ 3; 29/2008, de 20 de febrero, FJ 7; 60/2008, de 26 de mayo, FJ 8; 79/2008, de 14 de julio, FJ 2, y 129/2008, de 27 de octubre,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los fines de la institución, este Tribunal tiene declarado que “el establecimiento de un plazo temporal para que el Estado pueda proceder a perseguir las infracciones penales persigue a su vez que no se produzca una latencia sine die de la amenaza penal que genere inseguridad en los ciudadanos respecto del calendario de exigencia de responsabilidad por hechos cometidos en un pasado más o menos remoto. Dicho con otras palabras, el plazo de prescripción toma en consideración la función de la pena y la situación del presunto inculpado, su derecho a que no se dilate indebidamente la situación que supone la virtual amenaza de una sanción penal, de manera que lo que la existencia de la prescripción penal supone es que la infracción penal tiene un plazo de vida, pasado el cual se extingue toda posibilidad de exigir responsabilidades por razón de su comisión. Pero también obedece a la esencia de la propia amenaza penal, que requiere ser actuada de forma seria, rápida y eficaz, a fin de lograr satisfacer las finalidades de prevención general y de prevención especial que se le atribuyen.” (STC 37/2010, FJ 2, con cita de las SSTC 63/2005, de 14 de marzo, FJ 4, y 79/2008, de 14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ya se señaló, el control constitucional se ciñe a verificar si la interpretación seguida por el órgano judicial se compadece con la esencia y fundamento de la prescripción y satisface la exigencia constitucional de que toda decisión judicial adoptada en esta materia manifieste un nexo de coherencia con la norma que le sirve de fundamento y con los fines que justifican la existencia de esa causa extintiva de la responsabilidad penal. Al respecto, el Tribunal ha tenido ocasión de precisar, de un lado, que, al estar en juego el derecho a la libertad sometido al principio de legalidad, la interpretación no puede exceder el tenor literal de los preceptos aplicables ni es admisible una interpretación restrictiva contra reo carente del necesario rigor en relación con el tenor literal de la norma que le sirve de fundamento y con los fines de la prescripción (STC 29/2008, de 20 de febrero, FFJJ 10 y 12, y 37/2010, FJ 5). De otro lado, en cuanto a la incidencia de los fines que justifican la existencia de la prescripción, ha especificado que “si constituye ‘una renuncia o autolimitación del Estado al ius puniendi’, que tiene como efecto no la prescripción de la acción penal para perseguir la infracción punitiva, sino la de esta misma, … la determinación de las previsiones legales aplicables sobre la prescripción han de ser las correspondientes no al título de imputación … sino a la infracción de la que resulta penalmente responsable, es decir, la infracción penal que hubiera cometido y por la que habría de ser condenado de no concurrir la prescripción como causa extintiva de la responsabilidad penal. De lo contrario, se haría recaer y soportar sobre la persona sometida a un proceso penal los plazos de prescripción correspondientes a una infracción penal que no habría cometido y de la que, por lo tanto, tampoco habría de ser responsable” (STC 37/2010,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aplicar los referidos parámetros de examen constitucional de la cuestión debatida, se impone un recordatorio de los hechos relevantes para tal decisión y algunas precisiones sobre la normativa concernida.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con mayor detalle en los antecedentes, los hechos probados refieren la existencia de un entramado organizado para blanquear los ingresos procedentes del narcotráfico al que se dedicaban algunos miembros del clan familiar, con la descripción de numerosas operaciones y actividades que alcanzan hasta el año 2011, en que se concluye la investigación policial, incoándose diligencias previas por el Juzgado de Instrucción núm. 1 de Sanlúcar la Mayor el 28 de junio de 2011. En ese relato, los hechos que conciernen al recurrente, cuyo papel en la estructura de lavado se juzga de testaferro, se ciñen a una concreta operación simulada de adquisición y posterior venta de una finca a una de las acusadas artífice de la estructura que se realizó entre el 2003 y el 2004, que se calificó en la instancia como autoría de un delito de blanqueo doloso y finalmente en casación como autoría de un delito de blanqueo imprudente del artículo 301.3 CP. La actuación del resto de acusados, todos los cuales mostraron conformidad en la instancia y reconocieron los hechos, fue calificada, salvo en un caso, como autoría de un delito de blanqueo de capitales doloso del artículo 301.1 CP, incluidas las diversas acciones atribuidas a la coacusada con la que realizó la transacción el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normativa sobre prescripción concernida, debe tenerse presente que la redacción del artículo 131 CP vigente en el momento de los hechos que concretamente se atribuyen al recurrente, años 2003 y 2004, establecía, dentro del régimen general que fija el termino prescriptivo en función de la gravedad del delito determinada por la gravedad de la pena, un plazo de prescripción para el delito de blanqueo imprudente de tres años, mientras que el delito de blanqueo doloso tenía un plazo prescriptivo de diez años (art. 131.1 en relación con los arts. 301.1 y 301.3 CP, respectivamente). Por su parte, el artículo 132.1 CP disponía, como ahora, que “[l]os términos previstos en el artículo precedente [plazos] se computarán desde el día en que se haya cometido la infracción punible. En los casos de delito continuado, delito permanente, así como en las infracciones que exijan habitualidad, tales términos se computarán, respectivamente, desde el día en que se realizó la última infracción, desde que se eliminó la situación ilícita o desde que cesó la conducta”. No se contemplaba entonces una regla como la del actual artículo 131.4 CP (redacción fruto de la Ley Orgánica 1/2015, en vigor a partir del 1 de julio de 2015), introducida por primera vez como número 5 del artículo 131 CP por la Ley Orgánica 5/2010 (en vigor a partir del 23/12/2010), donde se fija como plazo de prescripción en los supuestos de concurso de infracciones o de infracciones conexas el que corresponda al delito más grave. Esa innovación normativa carece de reflejo en el debate procesal acaecido, cuyo objeto es determinar si puede afirmarse la extinción de la responsabilidad criminal del demandante por el delito de blanqueo imprudente conforme a las reglas sobre prescripción previstas al tiempo de suceder los hechos, esto es, en la redacción anterior a la reforma introducida por la Ley Orgánica 5/2010, que fue la que asimismo se aplicó para calificar los hechos en la instancia. En buena lógica, el precepto tampoco tiene reflejo en la motivación de la decisión judicial final denegatoria impugnada, que es la que corresponde revisar externamente en este proceso constitucional, lo que, por lo demás, está en consonancia con la tradicional posición del Tribunal Supremo de rechazar la aplicación retroactiva de las normas reguladoras de la prescripción salvo que su contenido sea favorable (por todas, STS 101/2012,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antes expuesta, de los hechos descritos y de la normativa concernida, deben examinarse los argumentos ofrecidos por el Tribunal Supremo para rechazar la prescripción del delito de blanqueo imprudente por el que se condenó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ofrecido por el Tribunal Supremo para descartar la extinción de la responsabilidad criminal del recurrente por prescripción parte del presupuesto jurídico, derivado de una reiterada posición jurisprudencial de dicho órgano —hecha expresa en la resolución impugnada con cita de las STS 984/2013, de 17 de diciembre de 2013, 1 de febrero de 1999 y 26 de marzo de 2013 y del acuerdo Plenario de 26 de octubre de 2010— de que en los delitos conexos se tomará en consideración el delito más grave declarado cometido para fijar el plazo de prescripción del conjunto punitivo enjuiciado. A partir de esa premisa y ya desde una perspectiva fáctica, apela a la complejidad de la investigación, con implicación de numerosas personas y acciones, que impide considerar de forma separada a efectos de prescripción del episodio de la compraventa. La actuación del demandante tendría en realidad una extensión temporal mayor que el puntual negocio de compra y venta de la finca (años 2003 y 2004), pues se enmarca entre los años 2002 a 2010, como pone de manifiesto la mención en los hechos probados a que “también actúa como testaferro del grupo” y a que “en los hechos que van de 2002 a 2010, los únicos ingresos que le constan...”, afirmaciones que carecerían de sentido en relación con la operación aislada de 2004. De ahí concluye que el planteamiento del recurrente adolece del error de entender su conducta prescindiendo del hecho probado que incardina su actuación en la realizada por los otros acusados, singularmente en la conducta y el delito de la coacusada que intervino en dicha transacción, lo que determina la conexidad de delitos que obsta para la apreciación de la prescripción que se interesa tanto desde la perspectiva de que no puede considerarse aisladamente su conducta como desde el plano de la conexidad procesal con la que ha sido juzgado todo ese complejo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no controvierte en su demanda de amparo la posición jurisprudencial del Tribunal Supremo de que en los delitos conexos se tome en consideración para determinar el comienzo del cómputo del plazo de prescripción el conjunto punitivo enjuiciado. Alega que se ha vulnerado su derecho a la tutela judicial efectiva al haberse hecho aplicación de dicha jurisprudencia cuando el delito de blanqueo de capitales imprudente por el que ha sido condenado está desconectado del complejo de conductas desarrolladas por el resto de acusados y el entramado societario, quedando su intervención limitada a una operación puntual de compraventa, aislada en el tiempo en los años 2003 y 2004, sin que en los hechos probados se refiera cualquier otra actuación por su parte, como sí se recoge respecto a otros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externa de control que corresponde proyectar a este Tribunal en este tipo de procedimientos de amparo, bajo la invocación del deber reforzado de motivación de instituciones vinculadas a la libertad personal y a la legalidad penal, hay que concluir que el proceso argumental a partir del cual la resolución judicial impugnada concluye que el plazo de prescripción del delito cometido por el recurrente no habría prescrito, tal como alega el demandante y es defendido por el Ministerio Fiscal, incurre en una vulneración del derecho a la tutela judicial efectiva (art. 24.1 CE) en relación con los derechos a la libertad personal (art. 17.1 CE) y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hechos probados no existe referencia alguna a una actividad de blanqueo o a cualquier otra intervención por parte del demandante que trascienda la operación de compraventa finalizada en octubre de 2004, a diferencia de las múltiples actuaciones que se describen respecto a otros acusados. No puede ayudar a superar ese obstáculo el dato de que se mencione en el factum que se revisaron sus ingresos entre los años 2002 y 2010, pues es obvio que la apertura de una investigación patrimonial respecto a ese período y, como fue el caso, el resultado relativo a los escasos ingresos en el citado intervalo no es constitutivo de un ilícito penal de blanqueo ni de ningún otro. Y tampoco sostiene esa extensión de su participación en la trama su categorización como testaferro de la organización, a la que también recurre la Sala. El calificativo resulta quizá aplicable al demandante por su actuación de compra y venta de la finca, pero no supone un elemento definitorio del sujeto como autor del delito más allá de esa conducta en ausencia de ulteriores datos que acrediten una aportación posterior efectiva en la estructura de blanqueo, en calidad de testaferro o en otra. Incluso el razonamiento del órgano judicial en el que se sostiene la calificación de su conducta como delito imprudente se opone a la idea de que fuera testaferro de la organización y blanqueara ingresos del clan durante ocho años. Allí el debate sobre el carácter doloso o imprudente de su actuación se identifica con la acreditación del conocimiento, las dudas fundadas o solo la ignorancia superable por parte del recurrente acerca del origen ilícito del dinero con que se financió la adquisición y venta de la finca, como asimismo se debatió en la primera instancia, sin atender a intervención posterior alguna del demandante en los múltiples hechos y operaciones mercantiles dirigidas a blanquear las ganancias ilícitas. En suma, el argumento que apela a la existencia de una actuación delictiva temporalmente extendida por parte del recurrente es irrazonable, ya que lo es la interpretación de los hechos probados en que se asienta, y, en tal medida, resulta constitucionalmente censurable.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relación con esa imposibilidad de construir la conexión que funda el rechazo de la prescripción a partir de los hechos probados opera el dato de que la conducta del recurrente está delimitada de forma objetiva y subjetiva y constituya de forma autónoma un delito de blanqueo imprudente ya perfeccionado, al margen de la calificación de la conducta de la otra acusada para quien compró la finca y del hecho de que se trate de dos conductas que convergen en el resultado material de blanqueo. La consideración como un solo delito a efectos de prescripción de tipos delictivos tan claramente diferenciados como los concurrentes en el caso excede el más directo significado gramatical de los preceptos legales aplicados (arts. 131.1 y 132.1 CP), que disponen la extinción del delito en tanto transcurra el término prescriptivo señalado en función de su gravedad y no por la gravedad de otro delito coetáneo cometido por otra persona que está subjetivamente desconectado. Por ello, como también aprecia el Ministerio Fiscal en sus alegaciones, hay que afirmar que en este caso se ha hecho una aplicación del instituto de la prescripción irrazonable, que al estar incursa en un defecto de motivación con relevancia constitucional, debe llevar a apreciar la vulneración del artículo 24.1 CE en relación con los derechos a la libertad (art. 17.1 CE) y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y el otorgamiento del amparo por la mencionada vulneración conducen a anular la resolución recurrida y a retrotraer las actuaciones, a fin de que sean los órganos de la jurisdicción ordinaria quienes se pronuncien, de forma respetuosa con el derecho fundamental, respecto a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César Rodríguez Vázquez.</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del recurrente en amparo a la tutela judicial efectiva sin indefensión (art. 24.1 CE) en relación con el derecho a la libertad (art. 17.1 CE) y con el derecho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anular el Auto de la Sala Segunda del Tribunal Supremo de 21 de julio de 2016, dictado en el recurso de casación núm. 601-2015, retrotrayendo las actuaciones al momento anterior a su pronunciamiento a fin de que se dicte otra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marzo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5685-2016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considero hubiera debido ser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sin controvertir la posición jurisprudencial del Tribunal Supremo de que en los delitos conexos se tome en consideración para determinar el comienzo del cómputo del plazo de prescripción el conjunto punitivo enjuiciado, ha concluido que la resolución impugnada ha vulnerado el derecho del artículo 24.1 CE, en relación con los derechos a la libertad (art. 17.1 CE) y a la legalidad penal (art. 25.1 CE), por la concreta aplicación que de dicha doctrina se ha hecho respecto de la conducta del recurrente. El argumento esencial ha sido que los hechos probados no refieren ninguna intervención por parte del demandante que trascienda la operación de compraventa finalizada en octubre de 2004, por lo que resulta irrazonable la afirmación de que existe una actuación delictiva temporalmente extendida por parte del recurrente, al carecer de base fáctica.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ese argumento de la ausencia de base fáctica del razonamiento judicial. La resolución impugnada, como también se reconoce por parte de la opinión mayoritaria en la que se sustenta la Sentencia, expuso que si bien la conducta por la que fue condenado el recurrente se refiere a una determinada operación de compra y sucesiva venta de una finca que se desarrolló en 2004, (i) su conducta se enmarca en una compleja investigación en la que han resultado condenadas siete personas y disueltas ocho sociedades mercantiles y que aparece referida a hechos que se desarrollan entre los años 2002 a 2010; y (ii) en los hechos probados de la Sentencia de instancia se pone de manifiesto su carácter de testaferro del grupo Fermache y se menciona la circunstancia de la inexistencia de ingresos en los años objeto de investigación 2002 a 2010, lo que serían afirmaciones que carecerían de sentido en relación con la operación aislada de 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perspectiva externa de control que corresponde proyecta a este Tribunal en este tipo de procedimientos de amparo bajo la invocación del deber reforzado de motivación de instituciones vinculadas a la libertad personal, no cabe considerar incurso en ningún defecto constitucional de motivación el citado razonamiento, ya que toma como presupuesto elementos y valoraciones fácticas contenidas en el apartado de hechos probados de la sentencia de instancia, que han quedado invariados en la de casación, sobre las que este Tribunal Constitucional no puede entrar a conocer por prohibirlo el artículo 44.1 b) de la Ley Orgánica del Tribunal Constitucional. De ese modo, más allá de las legítimas discrepancias que puedan expresarse en relación con la valoración efectuada por el órgano judicial sobre el carácter extendido de la participación del recurrente en todo el complejo de hechos enjuiciados, que quedan al margen del control de constitucionalidad, no puede apreciarse que la argumentación judicial responda a parámetros que resulten groseramente ilógicos por carecer de base fáctica.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es la razón por la que considero que debía haberse desestimado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marzo de dos mil dieciocho.-Juan Antonio Xiol Ríos.-Firmado y rubricado.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