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5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Raquel Gómez Sánchez, en nombre y representación de don Nicolás Sauveur Tixeront Castellano, por escrito registrado el 26 de diciembre de 2017 promovió, al amparo del artículo 92 de la Ley Orgánica del Tribunal Constitucional (LOTC), incidente de ejecución de la STC 137/2017, de 27 de noviembre, dictada por esta Sala Primera en el recurso de amparo núm. 5108-2016, por entender que se había producido por parte del órgano judicial la contravención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se enmarca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presentó, en fecha 27 de septiembre de 2016, recurso de amparo contra el Auto de 19 de julio de 2016, desestimatorio del incidente de nulidad de actuaciones promovido en el juicio verbal de desahucio y reclamación de cantidad núm. 989-2015, tramitado ante el Juzgado de Primera Instancia núm. 1 de Alcobendas.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de amparo fue resuelto por la STC 137/2017, de 27 de noviembre, que otorgó el amparo por vulneración del derecho a la tutela judicial efectiva (art. 24.1 CE). El fallo de la Sentencia contiene los siguientes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su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Restablecerle en su derecho y, a tal fin, declarar la nulidad del Auto del Juzgado de Primera Instancia núm. 1 de Alcobendas el 19 de julio de 2016, dictado en el juicio de desahucio núm. 989-2015, así como de todo lo actuado a partir de la diligencia de ordenación de 20 de enero de 2016, inclusive.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Notificada la Sentencia de amparo, la Letrada de la Administración de Justicia del Juzgado de Primera Instancia núm. 1 de Alcobendas dictó el 13 de diciembre de 2017 diligencia de ordenación en la que, en lo que aquí interesa, acuerda requerir a la parte allí demandada en los siguientes términos “procede requerir al demandado través de su representante procesal de conformidad con lo acordado en Sentencia del Tribunal Constitucional de fecha 27 de noviembre de 2017 declarando nulo todo lo actuado en el procedimiento a partir de la diligencia de ordenación de fecha 20 de enero de 2016 inclusive, retrotrayendo las actuaciones al momento inmediatamente anterior al de dictarse la diligencia de ordenación de fecha 20 de enero de 2016”. A continuación, reproduce el requerimiento con las opciones que, a tal efecto, prevé el artículo 440.3 de la Ley de enjuiciamiento civil (LEC), indicando, entre otros extremos, lo siguiente: “Requiérase al demandado a través de su representante procesal para que en el plazo de DIEZ DÍAS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el tribunal y alegue sucintamente, formulando oposición, las razones por las que a su entender no debe en todo o en parte la cantidad reclamada o las circunstancias relativas a la procedencia de la enervación, apercibiéndole de que de no realizar ninguna de las actuaciones citadas se procederá a su inmediato lanzamiento, sin necesidad de notificación posterior”. También señala, con el carácter contingente que expresa el precepto, la vista para el supuesto de que el demandado se opusiera al requerimiento y deja fijada la fecha del eventual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 anterior diligencia de ordenación interpuso el actor recurso de reposición, sin que conste la resolución del mismo en el momento del planteamiento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planteamiento del incidente de ejecución, la representación procesal de don Nicolás Sauveur Tixeront Castellano expuso, en síntesis, que la retroacción declarada debía suponer volver a tramitar el proceso en las mismas condiciones fácticas que lo conformaron y entre ellas, la de dejar sin efecto la diligencia de lanzamiento de 28 de abril de 2016. Afirma que la diligencia de ordenación no tiene en consideración las actuaciones relativas al lanzamiento y cuya consumación en vía ejecutiva impide al demandante optar por alguna de las posibilidades aludidas en el propio requerimiento (pagar, enervar la acción, desalojar el inmueble u oponerse), lo que justifica la formulación del incidente y la petición de la concreta medida de ejecución relativa a la reposición al demandado del estatus posesorio en el que se encontraba como ocupante de la vivienda. Asimismo, manifiesta haber interpuesto recurso de reposición frente a la diligencia de ordenación de 13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enero de 2018, la Sala Primera de este Tribunal tuvo por recibido el escrito presentado junto con la documentación que a éste se adjuntaba, dando copia de todo ello al Ministerio Fiscal y demás partes personadas en el recurso para que, en el plazo común de diez días, efectuasen las alegaciones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de alegaciones fue aprovechado por el promotor del incidente para solicitar como medida cautelar al amparo de lo dispuesto en el artículo 56 LOTC, la suspensión del acto de la vista señalado para el día 1 de marzo de 2018 en la consideración de que reunía los requisitos de apariencia de buen derecho y el peligro en la demora que, de no acordarse, haría perder la finalidad del incidente promovido.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escrito de alegaciones el 14 de febrero de 2018. Comienza el mismo con la exposición de los antecedentes del caso y de la doctrina de este Tribunal Constitucional acerca del derecho a la ejecución de sus propias sentencias, con cita expresa de, entre otros, el ATC 90/2008, de 14 de abril, cuyo fundamento jurídico 2 transcribe. Trasladando la doctrina allí mencionada al caso presente, considera que el Juzgado de Primera Instancia núm. 1 de Alcobendas ha dado cumplimiento exacto y riguroso a lo acordado por el Tribunal. Añade que la pretensión del recurrente, relativa a la devolución de la posesión, no corresponde dilucidarla al Tribunal Constitucional sino al propio Juzgado y considera en este punto que la vía judicial no ha sido correctamente agotada, y que este déficit compromete las exigencias del principio de subsidiariedad de la jurisdicción de amparo, como recoge el ATC 65/2015,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doña Victoria y don Gabriel Reyner Torroella presentó su escrito de alegaciones el 15 de febrero de 2018. Asegura que en la STC 137/2017 nada se ordena sobre la entrega de la posesión al inquilino a pesar de que en el procedimiento de amparo se tenía conocimiento de este hecho, y considera que, al contrario de lo sostenido por el demandante de amparo, la diligencia de ordenación cuestionada da exacto cumplimiento a la resolución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de ejecución del artículo 92 de la Ley Orgánica del Tribunal Constitucional (LOTC) se dirige contra la diligencia de ordenación de 13 de diciembre de 2017, de la Letrada de la Administración de Justicia del Juzgado de Primera Instancia núm. 1 de Alcobendas, a la que se imputa el incumplimiento e inejecución del fallo de la STC 137/2017, de 27 de noviembre, en lo que se refiere al tercero de sus pronunciamientos: retrotraer las actuaciones al momento inmediatamente anterior al dictado de la diligencia de ordenación de 20 de enero de 2016, que acordó citar y requerir a la parte demandada por medio de edictos, para que se dicte nueva resolución judicial respetuosa con el derecho fundamental reconocido. El promotor del incidente atribuye al órgano judicial un supuesto apartamiento o desviación de los efectos de cosa juzgada material emanados de dicha STC 137/2017, en el sentido de considerar insuficiente o incompleta la retroacción acordada en el fallo pues, a su entender, la retroacción debía extenderse a la reposición en la situación posesoria del inmueble que el recurrente mantenía cuando se dictó la diligencia de ordenación de 20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argumentos que ya han sido recogidos en los antecedentes, se han opuesto al incidente de ejecución planteado tanto la parte recurrida como el Ministerio Fiscal, habiendo aducido este último, además, la posible inadmisión del incidente por no haberse respetado la subsidiariedad propia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92 LOTC faculta a las partes en el proceso constitucional a promover el incidente de ejecución y proponer al Tribunal las medidas de ejecución necesarias para garantizar el efectivo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indica el Fiscal, el recurrente ha acudido a la vía incidental del artículo 92 LOTC sin agotar los recursos e instrumentos disponibles en la vía judicial previa para lograr que la ejecución de nuestra Sentencia se llevara a cabo en sus propios términos. En efecto, el demandante impugna la diligencia de ordenación de la Letrada de la Administración de Justicia del Juzgado de Primera Instancia núm. 1 de Alcobendas, de fecha 13 de diciembre de 2017, frente a la cual cabía, como en la propia diligencia de ordenación se hace constar, recurso de reposición; recurso que el actor afirma haber interpuesto, sin que conste haber sido resuelto en el momento del planteamiento del presente incidente de ejecución, ni el resultado del mismo, por lo cual este incidente ha de ser considerado prematuro. Y ello al margen de la existencia de remedios procesales para garantizar la necesaria intervención del Juez, como titular exclusivo de la potestad jurisdiccional de ejecución, al que no consta haberse instado en momento alguno la reposición en la situación posesoria que el demandante de amparo considera efecto necesario de la ejecución de la STC 137/2017.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precedentemente expuesto, el presente incidente debe ser inadmitido, por no haberse agotado la vía judicial previa, pues, al igual que se afirmó en el ATC 65/2015, de 13 de abril, FJ 3, “no se cumplen las exigencias de subsidiariedad de la jurisdicción de amparo, las cuales hemos calificado como esenciales (por todas, STC 185/1990, de 15 de noviembre, FJ 4), y que se concretan en la exigencia del agotamiento de los recursos o acciones judiciales previos establecidos en el ordenamiento jurídico, tanto en el caso de interposición de demanda, como en el de impugnación de la actividad de ejecución a través del incidente del art. 92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137/2017, de 27 de noviembre, dictada en el recurso de amparo núm. 5108-2016.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