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20 de marzo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noviembre de 2017 tuvo entrada en el registro general de este Tribunal el recurso de inconstitucionalidad interpuesto por la Presidenta del Gobierno en funciones, representada por el Abogado del Estado, contra el artículo 1, apartados primero (en cuanto modifica el artículo 1.1 de la Ley 3/2001, de 26 de abril, de la calidad, promoción y acceso a la vivienda de Extremadura), tercero (en cuanto a la incorporación de los apartados 13 y 15 al artículo 3 de la Ley 3/2001), cuarto (al añadir un nuevo artículo 16 bis a la Ley 3/2001), duodécimo y decimocuarto [en cuanto a la introducción de los apartados l) y m) en el artículo 58 de la Ley 3/2001]; el artículo 2 y la disposición transitoria primera de la Ley 2/2017, de 17 de febrero, de emergencia social de la vivienda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los artículos 161.2 CE y 30 de la Ley Orgánica del Tribunal Constitucional (LOTC) a fin de que se acordara la suspensión de la aplicación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diciembre de 2017, el Pleno, a propuesta de la Sección Cuarta, acordó: admitir a trámite el recurso de inconstitucionalidad; conforme a lo establecido por el artículo 34 LOTC; dar traslado de la demanda y documentos presentados al Congreso de los Diputados, al Senado, a la Junta de Extremadura y a la Asamblea de Extremadura, al objeto de que en el plazo de quince días pudieran personarse en el proceso y formular las alegaciones que estimaren convenientes; tener por invocado por el Presidente del Gobierno el artículo 161.2 CE, lo que, a su tenor y de conformidad con el artículo 30 LOTC, produce la suspensión de la vigencia y aplicación de los preceptos recurridos y publicar la incoación del recurso en el “Boletín Oficial del Estado” y en el “Diario Oficial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sendos escritos registrados en el Tribunal Constitucional los días 22 de diciembre de 2017 y 7 de febrero de 2018, los Presidentes del Congreso de los Diputados y del Senado comunicaron los acuerdos de las Mesas de sus respectivas Cámaras de personarse en este procedimiento y ofrecer su colaboración a los efectos del artículo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 la Asamblea de Extremadura se personó en el proceso y formuló alegaciones mediante escrito registrado con fecha 4 de enero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Junta de Extremadura se personó en el proceso mediante escrito registrado el 11 de enero de 2018, solicitando prórroga del plazo para formular alegaciones, que le fue concedida mediante providencia del Pleno de la misma fecha, por plazo de ocho días a contar desde la expiración del plazo ordinario. Con fecha 16 de enero, tuvo entrada en el registro general de este Tribunal el escrito de alegaciones de la Junta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18 de enero de 2018, el Pleno acordó oír al Abogado del Estado, a la Junta de Extremadura y a la Asamblea de Extremadura para que, en el plazo de cinco días, expusieran lo que consideraran conveniente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mediante escrito registrado en este Tribunal el 30 de enero de 2018, interesó el mantenimiento de la suspensión de los preceptos impugnados. Tras recoger la doctrina constitucional sobre la resolución de esta clase de incidentes de suspensión, concreta los perjuicios que se derivarían del levantamiento de la suspensión en los términos que se sintetizan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informes que se acompañan como documentos núms. 1, 2 y 3 (Ministerio Economía y Competitividad, Banco de España y Secretaría de Estado de Economía y Apoyo a la Empresa) ofrecen las razones que avalan el mantenimiento de la suspensión de las normas impugnadas, teniendo exclusivamente en cuenta los perjuicios de imposible o difícil reparación que su eficacia puede producir. Todas estas instancias, así como la Comisión Europea y el sector financiero (así, las asociaciones que representan a bancos y cajas de ahorro), son unánimes a la hora de valorar negativamente el considerable impacto que esta medida tiene sobre la situación financiera de las entidades, el crédito hipotecario, el mercado de cédulas hipotecarias y los compromisos internacionales asumidos por España, fundamentalmente el memorando de entendimiento firmado el 20 de julio de 2012, y su seguimiento, en el marco de la ayuda financiera otorgada a nuestro país por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dichos informes se acreditan las consecuencias negativas para el interés público y para el sector financiero en caso de que se levantara la suspensión, resultando especialmente preocupante el impacto de la norma extremeña en la actividad y en el plan de negocio de la Sociedad de gestión de activos procedentes de la reestructuración bancaria (SAREB), instrumento clave del programa de reestructuración del sector financiero español derivado de los compromisos internacionales adquiridos por nuestro país en el marco de la asistencia financiera recibida en 2012, por el efecto acumulativo de las iniciativas autonómicas con el mismo contenido. En concreto, el levantamiento de la suspensión podría acarrear perjuicios de muy difícil reparación, por cuanto afecta de modo directo y expreso a la finalidad y actividad de la SAREB, cuyo éxito es garantía de que la reestructuración de las entidades de crédito, que se ha realizado en los últimos meses, se lleve a cabo mediante un adecuado reparto de costes y minimizando el riesgo para los contribuyentes.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la eventual aplicación de los preceptos de la ley impugnada puede determinar un incremento de los costes de reestructuración asumidos por el Estado, sin añadir un mayor nivel de protección social a los deudores hipotecarios sin recursos respecto de la ya garantizada por la normativa estatal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proliferación de normas autonómicas similares ha ocasionado un impacto cada vez más amplio en la estabilidad del sistema financiero español. Tras enumerar las diferentes normas autonómicas similares a la aquí impugnada, recuerda el Abogado del Estado que el Tribunal ha acordado el mantenimiento de la suspensión de la mayoría de los preceptos impugnados en los AATC 69/2014, de 10 de marzo; 115/2014, de 8 de abril; 135/2015, de 21 de julio; 144/2016, de 19 de julio, y 160/2016, de 20 de septiembre. Aunque no corresponda en este incidente de suspensión plantear cuestiones sobre el fondo, se cita, como prueba del fumus boni iuris que el Tribunal ha utilizado en ocasiones para el mantenimiento de la suspensión de una ley, tanto los citados autos como la STC 93/2015, de 14 de mayo, FFJJ 17 y 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mantenimiento de la suspensión no causará perjuicio a las personas en situación de especial vulnerabilidad social, pues el Estado ha reaccionado ya ante esta realidad. La concurrencia de las medidas adoptadas por la Ley autonómica, lejos de coadyuvar al objetivo de mejorar la situación de las personas que no disponen de vivienda, puede resultar en su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examinar las normas dictadas por el Estado para proteger a los colectivos más vulnerables, señala el escrito que la norma extremeña —al igual que las precedentes normas autonómicas impugnadas— se diferencia fundamentalmente de las normas estatales en la estructura jurídica que soporta las medidas de protección. La normativa de ámbito nacional contempla la suspensión temporal de los procedimientos de ejecución, complementada con un esquema de adhesión voluntaria (código de buenas prácticas). Las normas autonómicas, por su parte, descansan en un procedimiento coercitivo (concretamente, en este caso, la previsión de un régimen sancionador sobre incumplimientos).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coexistencia de dos regímenes —estatal y autonómico— con idéntica finalidad, pero distinta articulación jurídica, hace previsible que surjan conflictos de aplicación, poniendo en riesgo tanto la deseable seguridad jurídica como la propia finalidad de protección perseguida por estas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Los perjuicios irreparables al interés general que produciría el levantamiento de la suspensión constan en los informes aportados, antes citados, en los que se acredita que la aplicación de la ley impugnada es susceptible de causar graves perjuicios al sistema financiero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el riesgo de incumplimiento de los compromisos de nuestro país de carácter internacional, pues si bien el memorando de entendimiento sobre condiciones de política sectorial financiera de 20 de julio de 2012 finalizó con éxito en enero de 2014, el Reino de España —mientras no devuelva, al menos, el 75 por 100 de la ayuda financiera recibida del mecanismo europeo de estabilidad— se encuentra dentro del denominado marco de vigilancia post-programa.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Comisión Europea ya señaló que el Decreto-ley 6/2013 de la Junta de Andalucía había generado incertidumbres legales y económicas sobre los bancos españoles, con posibles efectos negativos sobre la estabilidad del sistema financiero español en su conjunto, ya de forma directa (por las posibles sanciones a entidades de crédito y la medida de expropiación temporal del uso de las viviendas dadas en garantía), ya de forma indirecta (por la reducción del apetito inversor en el sector inmobiliario español y el deterioro del valor de las carteras de las entidades de crédito y de la capacidad de éstas de financiarse mediante cédulas hipotecarias). También destacó el potencial impacto negativo de iniciativas autonómicas de protección de los deudores hipotecarios para las actividades de la SAREB, tanto de forma directa (sanciones por inmuebles deshabitados) como indirecta (por el aumento de la incertidumbre que puede desincentivar las ofertas de potenciales compradores y deteriorar el valor de la cartera de activos de la SAREB).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inquietudes manifestadas por las autoridades internacionales sobre el impacto de la ley impugnada son compartidas por el Banco de España, en cuanto que la aplicación de los preceptos objeto de suspensión de la ley impugnada puede determinar un incremento de los costes de reestructuración asumidos por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Nada se opone a que las normas autonómicas contemplen actuaciones complementarias, como, por ejemplo, la financiación con sus recursos económicos a las personas y familias en dificultades, pero lo que no pueden es establecer mecanismos que interfieran y perjudiquen las medidas adoptadas por el Estado. Este criterio ha sido acogido en la STC 93/2015, FJ 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algunas disposiciones de la ley impugnada, y en particular el deber de ceder el derecho de uso de determinadas viviendas titularidad de la SAREB, podría lastrar las iniciativas de venta de paquetes de activos, en detrimento del objetivo último de la SAREB, y generar mayor incertidumbre por deterioro del valor de las carteras de activos.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medidas introducidas por los preceptos impugnados suponen un deterioro de la posición financiera de las entidades de crédito, en tanto que suponen un coste directo para éstas o implican un deterioro del valor de determinadas partidas en sus balances. Debe tenerse en cuenta que la ley afecta particularmente a las entidades financieras y, por ello, este sector se verá especialmente afectado en la medida en que recibe, como consecuencia de ejecuciones hipotecarias o de convenios con los deudores hipotecarios, un porcentaje elevado de viviendas.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trata de una norma aislada, sino que se une a otras similares aprobadas en los últimos años a nivel autonómico que, de mantenerse en vigor, podrían agravar aún más, de forma combinada, los efectos negativos para el sector financiero.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perspectiva de las entidades de crédito afectadas por la medida, cabe esperar que se genere una mayor incertidumbre por deterioro del valor de las carteras de activos. Además, comporta un aumento del riesgo asumido por las entidades en los créditos ya concedidos, que no pueden repercutir sobre su rentabilidad, inclinando la balanza hacia un mayor riesgo con el consiguiente efecto negativo sobre la estabilidad financiera. Las medidas podrían también tener un impacto sobre las emisiones de cédulas hipotecarias y otros valores garantizados por préstamos hipotecarios, debido al deterioro de la calidad de la garantía subyacente, que dificultará la capacidad de financiación de las entidades de crédito; en concreto, cabe esperar un descenso de la cotización de los títulos, un incremento de los costes de financiación de las entidades junto con un aumento de dificultades para refinanciar los títulos a medida que vayan venciendo.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Podría también generar mayores costes para las entidades, en caso de incumplimiento o demora de la obligación de poner a disposición de la administración las viviendas en los supuestos previstos en la norma, como consecuencia del régimen sancionador establecido, lo que, en su caso, afectaría a la evolución de los márgenes y los resultados de las entidades.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tiene indudablemente un efecto directo sobre la cartera actual de cédulas hipotecarias, que constituye una de las fuentes más importantes de financiación de préstamos hipotecarios de las entidades. Dado el menor valor de la garantía, los inversores exigirán un mayor volumen de préstamos que respalde las cédulas emitidas.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conjunto de los preceptos impugnados produce los perjuicios irreparables al interés general que han quedado descritos. Se sintetizan a continuación las razones que justifican la suspensión de cada uno de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A través de un primer bloque de disposiciones —artículo 1, apartados primero (en cuanto modifica el artículo 1.1 de la Ley 3/2001, de 26 de abril, de la calidad, promoción y acceso a la vivienda de Extremadura), tercero (en cuanto a la incorporación de los apartados decimotercero y decimoquinto al artículo 3 de la Ley 3/2001), duodécimo y decimocuarto [en cuanto a la introducción de los apartados l) y m) en el artículo 58 de la Ley 3/2001]—, la Ley extremeña perfila el concepto de vivienda deshabitada y lo configura como un supuesto de incumplimiento de la función social que el derecho de propiedad está llamado a atender. A partir de este supuesto se articula un conjunto de medidas de intervención orientadas a incentivar a los titulares de viviendas para destinarlas a un uso habitacional y, en última instancia, a dar cumplimiento al deber de ocupación de la vivienda que, de modo implícito pero inequívoco, establece la ley. Impone a los propietarios de viviendas un deber jurídico concreto, consistente en destinarlas a un uso habitacional efectivo, que queda vinculado al cumplimiento de la función social del derecho de propiedad, configurándose como incumplimiento de dicha función —y, por ende, como presupuesto para la aplicación de diversas medidas de intervención— la inobservancia del referido deber.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Solo sobre la base de la existencia de tal deber cobran sentido los instrumentos de intervención mencionados y la tipificación de las infracciones consistentes en su incumplimiento, y solo así puede ser operativo el régimen sancionador diseñado por la Ley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Todos estos preceptos son impugnados en la medida en que guardan una evidente unidad de sentido, ya que se disciplina un mecanismo a través del cual, mediante la delimitación del concepto de vivienda deshabitada, se introducen elementos que condicionan y modulan el contenido del derecho de propiedad, en tanto que se impone al propietario una obligación de uso de las mismas. El uso y disfrute de la propiedad privada es uno de los elementos esenciales de su contenido, cuya fijación corresponde al Estado. Adicionalmente, la regulación así establecida afecta a las competencias en materia de ordenación del crédito y banca y a la planificación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impugnados, fundamentalmente las sanciones que se pueden imponer por el mero hecho de que una vivienda se encuentre deshabitada, son susceptibles de causar un perjuicio irreparable a sus destinatarios y, sobre todo y de acuerdo con lo que se ha argumentado, constituyen claramente un obstáculo a las medidas de reestructuración financiera adoptadas por el Gobierno, ya que los grandes inversores y los fondos inmobiliarios, ante el temor de ser sancionados, se replantearán sus inversiones en este ámbito con el consiguiente daño al sector. La propia SAREB y entidades similares que, como consecuencia de la crisis inmobiliaria, disponen de un gran número de viviendas deshabitadas que no pueden poner a disposición del mercado, se verán afectadas por este tipo de sanciones. La aplicación de la ley puede producir por ello efectos muy perjudiciales en el sistema y en las entidades mencionadas. Por ello, en los términos expuestos entran en contradicción con las medidas adoptadas por el Estado, pretendiendo desarrollar una política pública para la que el Estado ya ha adoptado medidas y con la que es incompatible. Resulta por ello de plena aplicación la doctrina de la STC 93/2015.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artículo 2 regula la expropiación forzosa del usufructo temporal de determinadas viviendas para la cobertura de la necesidad de vivienda de personas en especiales circunstancias de emergencia social, mediante un procedimiento de expropiación urgente del derecho de usufructo de la vivienda por un plazo máximo de tres años. Esta medida se aplica exclusivamente, apartado segundo, “a las viviendas incursas en procedimientos de desahucio instados por entidades financieras, o sus filiales inmobiliarias, o entidades de gestión de activos, en los cuales resulte adjudicatario del remate una entidad financiera, o sus filiales inmobiliarias o entidades de gestión de activos, todo ello sin perjuicio de lo dispuesto a estos efectos en la normativa básica estatal”. Del régimen transitorio de este precepto se ocupa la disposición transitoria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afirma en el informe del Banco de España: “[U]na cesión temporal forzosa del uso de las viviendas obtenidas en garantía de créditos hipotecarios reduce la eficacia de la garantía para enjugar las pérdidas derivadas del impago del prestatario, con el efecto inmediato de la reducción en el valor de la deuda que podría recuperarse (efecto que dependería del importe a recibir por el sujeto propietario, en su caso). En general, tales medidas comportan un aumento del riesgo asumido por las entidades en los créditos ya concedidos, que no pueden repercutir sobre su rentabilidad, inclinando la balanza hacia un mayor riesgo con el consiguiente efecto negativo sobre la estabilidad financiera. Ello podría conllevar que las entidades exigieran mayores primas de riesgo para la concesión de préstamos hipotecarios en el futuro para compensar pérdidas esperadas mayores (debido a mayores pérdidas en caso de impago), lo que afectaría con especial intensidad a los hogares en una situación económica más débil; es decir, a las familias que tuvieran un mayor riesgo de exclusión social. A lo anterior se añade que los criterios de valoración para la determinación del justiprecio podrían introducir incentivos inadecuados desde el punto de vista de la supervisión prudencial en el reconocimiento de pérdidas por adjudicados. Así, mientras que la norma contable dispone que las entidades incorporen criterios de prudencia en la estimación de los deterioros, la Ley 2/2017, al determinar el potencial justiprecio que una entidad de crédito podría recibir sobre la base del valor reconocido contablemente, podría introducir un incentivo en detrimento del reconocimiento prudente de las pérdidas en las carteras de adjudicados”.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precepto afecta a la garantía hipotecaria y, por tanto, a la ordenación del crédito, y se solapa con las medidas ya adoptadas por el Estado en esta materia (Real Decreto-ley 1/2015, y en la actualidad la Ley 25/2015, que ha ampliado el ámbito de protección de los deudores al incrementar el concepto de lo que se ha de entender por umbral de exclusión). Por consiguiente, cabe concluir que resulta trasladable a este caso la doctrina establecida en la STC 93/2015, FFJJ 17 y 18. La legislación estatal existe y la norma autonómica interfiere en su eficacia. Por el contrario, parece evidente que una única norma de carácter y ámbito estatal evitaría cualquier incertidumbre jurídica y garantizaría una aplicación coherente de las citadas medidas de protección en todo 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suspensión de este artículo se solicita en su conjunto en cuanto sus diversos apartados guardan una conexión interna y unidad de sentido y son necesarios para una única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Para concluir, se reitera que los perjuicios del levantamiento de la suspensión de la Ley impugnada se contemplan mejor haciendo el ejercicio de generalizar sus medidas a todo el territorio nacional. El Tribunal reiteradamente ha aceptado la legitimidad de este razonamiento en los incidentes de suspensión, entre otros, en el ATC 87/2012, de 10 de mayo,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 la Junta de Extremadura solicitó el levantamiento de la suspensión mediante escrito registrado el 30 de enero de 2018. En apoyo de su pretensión, y tras recoger la doctrina de este Tribunal acerca de esta clase de incidentes, y citar los AATC 69/2014, de 10 de marzo, 115/2014, de 8 de abril, 135/2015, de 21 de julio, 144/2016, de 19 de julio, 160/2016, de 20 de septiembre, 18/2017, de 31 de enero, y 118/2017, de 6 de septiembre, recaídos sobre otras normas autonómicas que regulan esta cuestión, alega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Ningún informe público o privado avala el riesgo que, según se afirma, existe sobre el mercado hipotecario español en caso de mantener las medidas de la ley impugnada. La situación económica ha cambiado. Los informes del Banco de España reflejan que la morosidad de los préstamos hipotecarios se ha reducido en términos absolutos de un modo más que notable. Según esos informes, a los que hay que añadir los de la asociación hipotecaria española (www.ahe.es/bocms/sites/ahenew/estadisticas/indicadores-dudosidad), los índices de créditos dudosos, que no morosos, han descendido desde 2014 hasta la fecha de un modo notable.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Ese descenso es compatible con un euribor negativo desde marzo de 2016, lo que contrasta con la idea de riesgo mantenida de contrario, pues difícilmente se acomoda a las reglas de mercado que el riesgo suba y el tipo de interés baje: lo normal suele ser a más riesgo, más interés.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llamado fondo social de viviendas es inexistente en Extremadura, como se puso de manifiesto en la contestación al recurso de inconstitucionalidad, y como se evidencia con la mera consulta a la página web institucional preparada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realidad, lo que se facilita con las medidas suspensivas es un proceso de acaparación y control del mercado inmobiliario al efecto de controlar los precios de venta y alquiler que según parece se están incrementando, esto es, medidas de especulación tanto del suelo como del suelo construido, lo que no está permitido por la propia Constitución ex artículo 47.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al ser esto así, las perjudicadas son las llamadas clases populares, cuyos ratios de insolvencia son muchos más modestos (un 4,7 por 100) que los de los promotores inmobiliarios (superiores al 27 por 100), cuando por otra parte los problemas financieros del sector bancario español por la llamada burbuja inmobiliaria no los crearon las viviendas construidas o en construcción, sino el proceso de adquirir con valor de suelo urbano el suelo urbanizable o incluso el rústico, por emplear expresiones no rigurosas en términos jurídicos.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perjudica claramente a los ciudadanos, a los que se les impide la adquisición de su vivienda, que queda postergada ante el derecho de los grandes acaparadores de suelo de mantenerlas vacías, se supone que esperando el reflotamiento del sector que todos los ciudadanos han contribuido a sufragar.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particular, mantener la suspensión del artículo1, apartados tercero y cuarto, que configuran las definiciones de vivienda habitual y vivienda deshabitada, imposibilita la exacción del canon sobre la vivienda deshabitada regulado en la disposición final tercera, que no ha sido impugnada, excediendo así del objeto del recurso. Invoca el ATC 163/2017, de 28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el artículo1, apartado decimocuarto, se establecen como infracciones dos conductas de los “grandes detentadores” de viviendas: no destinarlas de modo efectivo al uso residencial, o no mantenerlas en un estado de conservación adecuado. En realidad, tales obligaciones, que es lo que en realidad cuestiona el recurso, ya estaban establecidas en la regulación sobre suelo y viviendas de la época pre y postconstitucional (art. 15 del Real Decreto Legislativo 7/2015, de 30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estos deberes de destino y conservación de terrenos y construcciones de todo tipo ya estaban previstos; no son, en puridad, elementos nuevos. Lo único que hace la ley extremeña es marcar las consecuencias jurídicas del incumplimiento de tales obligaciones impuestas por una norma estatal (que viene asumir la tradición normativa al respecto, al menos desde el texto refundido de 1992, artículo 21), y en la Ley 15/2001, de 14 de diciembre, de suelo y ordenación territorial de Extremadura (art. 163), que nunca fue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si esto es así, parece que sostener la suspensión supone extenderlo a preceptos de normas estatales —lo que es un verdadero contrasentido— o a normas autonómicas no impugnadas en su momento, sin que sea dable ahora abrir tal discusión en una especie de recurso de inconstitucionalidad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sea competencia estatal o autonómica, lo cierto es que asumir que la idea de la función social de la propiedad de las viviendas permite dejarlas vacías, o que se deterioren hasta el punto que haga inviable un posterior uso al fin para el que fueron erigidas, resulta inasumible y, desde luego, nada respetuoso con el mandato del artículo 128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 resolución tiene por objeto determinar si, de acuerdo con el artículo 161.2 CE, procede levantar o mantener la suspensión de la vigencia que afecta al artículo 1, apartados primero (en cuanto modifica el art. 1.1 de la Ley 3/2001, de 26 de abril, de la calidad, promoción y acceso a la vivienda de Extremadura), Tres (en cuanto a la incorporación de los apartados decimotercero y decimoquinto al artículo 3 de la Ley 3/2001), Cuatro (al añadir un nuevo art. 16 bis a la Ley 3/2001), duodécimo y decimocuarto [en cuanto a la introducción de los apartados l) y m) en el art. 58 de la Ley 3/2001]; el artículo 2; y la disposición transitoria primera de la Ley 2/2017, de 17 de febrero, de emergencia social de la vivienda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inconstitucionalidad plantea una controversia de índole competencial, en la que se aduce la vulneración de las competencias estatales en materia de régimen del derecho de propiedad (art. 149.1.1 CE en relación con el art. 33 CE), legislación procesal y civil (art. 149.1, 6 y 8 CE), bases de la ordenación de crédito, banca y seguros y bases y coordinación de la planificación general de la actividad económica (art. 149.1, 11 y 13 CE), y legislación sobre expropiación forzosa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la consolidada doctrina constitucional, la procedencia de mantener o no la suspensión es una medida cautelar dirigida a prevenir las repercusiones perjudiciales que fueran consecuencia de la ejecución de aquellas decisiones durante la tramitación del proceso, por poderse generar situaciones de imposible o difícil reparación para los intereses comprometidos. Es preciso ponderar, de un lado, los intereses en presencia, tanto el general y público como el particular y privado de terceras personas afectadas, y, de otro, los perjuicios de imposible o difícil reparación que la medida, según su sentido, pudiera deparar.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de acuerdo con la doctrina constitucional, “la decisión sobre el mantenimiento o el levantamiento de la suspensión de la vigencia de las disposiciones impugnadas se debe desvincular plenamente de la decisión sobre la cuestión de fondo, que deberá ventilarse mediante sentencia” (ATC 163/2017, de 28 de noviembre, FJ 3, y los allí citados). La valoración propia de esta resolución debe efectuarse mediante el estricto examen de las situaciones de hecho creadas por los preceptos discutidos y al margen de la viabilidad de las pretensiones que en la demanda se formulan, pues la interpretación de las reglas de deslinde competencial que al caso hagan debe, obviamente, quedar diferida a la sentencia que resuelva la controversia competencial.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doctrina constitucional ha destacado que no basta para decidir la suspensión la mera invocación de aquellos perjuicios, sino que es preciso demostrar o, al menos, razonar consistentemente su procedencia y la imposible o difícil reparación de los mismos, ya que debe partirse, en principio, de la existencia de una presunción de constitucionalidad en favor de las normas o actos objeto del conflicto (por todos AATC 100/2002, de 5 de junio, FJ 2; 355/2007, de 24 de julio, FJ 2; 225/2009, de 10 de diciembre, FJ 2; 44/2011, de 12 de abril, FJ 2; 86/2012, de 8 de mayo, FJ 2; 122/2015, de 7 de julio, FJ 2, y 18/2017, de 31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daños y perjuicios de imposible o difícil reparación invocados en este caso por el Abogado del Estado son los mismos que se pusieron de manifiesto y se valoraron por este Tribunal en los AATC 69/2014, de 10 de marzo; 115/2014, de 8 de abril; 32/2015, de 17 de febrero; 135/2015, de 21 de julio; 144/2016, de 19 de julio; 160/2016, de 20 de septiembre; 18/2017, de 31 de enero, y 12/2018, de 7 de febrero. Las razones expuestas en los Autos citados para mantener la suspensión de preceptos de otras disposiciones autonómicas que han aprobado medidas en materia de vivienda, análogas a las impugnadas en este proceso constitucional, han quedado recientemente sintetizadas en el ATC 12/2018, FJ 3, al que procede remitirse: se refieren al perjuicio cierto para el interés general que subyace en el buen funcionamiento y estabilidad del sistema financiero en su conjunto; al daño para la seguridad jurídica, que no deriva de que las actuaciones de la Administración de la Comunidad Autónoma puedan quedar en entredicho si la resolución de fondo que se dicte en el recurso de inconstitucionalidad fuera favorable al Estado, sino de la mera convivencia sobre una misma realidad material de regímenes jurídicos dispares con idéntico objetivo; y a la circunstancia de que los perjuicios derivados de la suspensión y consistentes en el menoscabo del interés público al que responde la norma autonómica, esto es, la garantía del derecho a la vivienda y el interés privado de los colectivos más vulnerables que se verían beneficiados, resultan notoriamente reducidos, porque el Estado también ha dispuesto normas que atienden a estos mismos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Son las mismas razones que abonan el mantenimiento de la suspensión de los siguientes preceptos de la Ley 2/2017, de 17 de febrero, de emergencia social de la vivienda de Extremadura: artículo 1.12, en cuanto da nueva redacción al artículo 54.3 de la Ley 3/2001; artículo 1.14, en cuanto añade un nuevo apartado l) al artículo 58 de la Ley 3/2001; artículo 2, y disposición transitoria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 contrario, no se aprecia que concurran las razones expuestas para mantener la suspensión de los preceptos que seguidamente se indican, toda vez que su contenido no es susceptible de irrogar los daños y perjuicios de imposible o difícil reparación alegados por el Abogado del Estado, debiendo prevalecer el principio de presunción de constitucionalidad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artículo 1.1 de la Ley de Extremadura 2/2017 da nueva redacción al artículo 1.1 de la Ley 3/2001, de 26 de abril, de la calidad, promoción y acceso a la vivienda de Extremadura, que define el objeto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Sus párrafos 1 y 2 hacen referencia en términos genéricos a la ordenación de los procesos edificatorios, al marco normativo estable en la materia, a la garantía del derecho constitucional a disfrutar de una vivienda digna y adecuada, al conjunto de facultades que integran ese derecho, y a las actuaciones de administraciones públicas extremeñas y de entidades públicas y privadas que actúan en el ámbito sectorial de la vivienda para hacer efectivo el citado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regulan, ni tan siquiera mencionan, medidas o actuaciones concretas susceptibles de ser asociadas con los daños y perjuicios que se alegan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párrafo 3, como parte del contenido del derecho de propiedad, enuncia el deber de destinar de forma efectiva el bien al uso habitacional previsto por el ordenamiento jurídico, y el deber de mantener, conservar y rehabilitar la vivienda con los límites y condiciones establecidos en el planeamiento y la legislación urbanística. Sin entrar en el debate de fondo que es ajeno a la decisión propia de este incidente cautelar, no cabe apreciar en este enunciado otra cosa que remisión a normas distintas, que precisarán el contenido de esos deberes y las consecuencias de su incumplimiento: serán pues esas otras normas las llamadas a concretar esos deberes genéricos, de forma tal que eventualmente cupiera entender que los daños y perjuicios alegados efectivamente concurren, pero este eventual efecto no puede predicarse del contenido de este párrafo.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artículo 3 de la Ley 3/2001, de 26 de abril, de la calidad, promoción y acceso a la vivienda de Extremadura, recoge las definiciones y conceptos utilizados en esta norma. De su modificación por el artículo 1.3 de la Ley 2/2017, se impugnan los apartados decimotercero y decimoquinto, que fijan a los efectos de la Ley los conceptos de vivienda habitual [a los efectos de los arts. 16 bis y 58.l)] y vivienda deshabitada.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artículo 1.4 de la Ley 2/2017 añade un nuevo artículo 16 bis a la Ley 3/2001, a fin de regular la declaración de vivienda desocupada (o deshabitada). Se fijan el período de desocupación, las causas justificadas de desocupación, los deberes de colaboración de empresas suministradoras de servicios, entidades locales, fedatarios públicos, intermediarios inmobiliarios y entidades financieras, y se remite a desarrollo reglamentario el procedimiento contradictorio de declaración.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regula en el artículo 3, apartados 13 y 15, el régimen jurídico asociado al concepto de vivienda habitual y al concepto reflejo de vivienda desocupada (o deshabitada); tampoco el artículo 16 bis dispone los efectos de la declaración de una vivienda como desocupada (o deshabitada), efectos que serían los potencialmente susceptibles de considerar como causantes de daños y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las medidas dispuestas por la Ley de Extremadura 2/2017 en relación con las viviendas desocupadas (o deshabitadas) no son únicamente las “medidas de intervención” de naturaleza sancionadora aludidas por el Abogado del Estado para acreditar la existencia de daños y perjuicios. No han sido objeto de impugnación las medidas de fomento reguladas en el artículo 38.1 de la Ley 3/2001, en la redacción dada por el artículo 1.9 de la Ley 2/2017, que entre otras contempla el establecimiento de convenios de colaboración con las entidades financieras y cualquier otra entidad con viviendas deshabitadas para ponerlas a disposición de determinados colectivos [apartado g)] y la supervisión de las condiciones técnicas y el estado arquitectónico de las viviendas desocupadas [apartado i)]. Tampoco se ha impugnado la disposición final tercera de la Ley 2/2017, que establece un canon sobre la vivienda deshabitada.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por tanto de un conjunto de preceptos cuya función instrumental excede de la regulación que, al permanecer suspendida, evita por sí misma los daños y perjuicios que han sido tomados en consideración.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artículo 1.14 de la Ley 2/2017 añade un nuevo apartado m) al artículo 58 de la Ley 3/2001, a fin de tipificar como infracción grave el incumplimiento de los deberes de mantenimiento del inmueble.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aprecia la conexión con los daños y perjuicios alegados por el Abogado del Estado en este incidente. Estén o no habitados, los deberes de mantenimiento de los inmuebles de uso residencial no responden a objetivos de política de vivienda, o a medidas de intervención sobre viviendas deshabitadas, ni son predicables específicamente de las entidades financieras titulares de viviendas. En realidad, el artículo 3.4 de la Ley de Extremadura 3/2001 se remite en este punto a las obligaciones y responsabilidades definidas en la propia legislación estatal, concretamente en la Ley 38/1999, de 5 de noviembre, de ordenación de la edificación. Esta última norma tiene la finalidad de garantizar la seguridad de las personas, el bienestar de la sociedad y la protección del medio ambiente (artículo 3.1), y en su artículo 16 regula las obligaciones de todos los propietarios (conservar en buen estado la edificación mediante un adecuado uso y mantenimiento) y de todos los usuarios, sean o no propietarios (la utilización adecuada de los edificios o de parte de los mismos de conformidad con las instrucciones de uso y mantenimiento).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Difícilmente puede aceptarse que una regulación autonómica que explícitamente tiene como marco de referencia la legislación estatal en materia de edificación, dictada al amparo de las competencias estatales citadas en la disposición final primera de la Ley 38/1999, pueda generar los daños y perjuicios que han sido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Además de exponer los daños y perjuicios de imposible o difícil reparación que hasta aquí han quedado examinados, el Abogado del Estado reitera parte de los argumentos que proporcionan el soporte jurídico a sus pretensiones de fondo, y que no son de tener en cuenta en la adopción de medidas cautelares, e invoca en sus alegaciones el fumus boni iuris, por referencia a la STC 93/2015,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el Tribunal ha admitido excepcionalmente que pueda tenerse en consideración este criterio, como ocurre señaladamente cuando los preceptos impugnados contienen previsiones muy similares (una “similitud intensa o coincidencia literal”) con otras normas ya declaradas inconstitucionales y nulas por Sentencia de este Tribunal (entre otros, AATC 78/1987, de 22 de enero, FJ 2; 183/2011, de 14 de diciembre, FJ 4; 182/2015, de 3 de noviembre de 2015, FJ 6; 41/2016, de 16 de febrero, FFJJ 2 y 3; 105/2016, de 10 de mayo, FJ 4, y 11/2018, de 7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una vez valorados los perjuicios de imposible o difícil reparación alegados por el Abogado del Estado, el criterio excepcional del fumus boni iuris deviene innecesario para la resolución de este incidente cautelar, que aplica la consolidada doctrina general que ha quedado sintetizada en el fundamento jurídico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Mantener la suspensión de los siguientes preceptos de la Ley 2/2017, de 17 de febrero, de emergencia social de la vivienda de Extremadura: artículo 1.12, que da nueva redacción al artículo 54.3 de la Ley 3/2001; artículo 1.14, que añade un nuevo apartado l) al artículo 58 de la Ley 3/2001; artículo 2, y disposición transitoria primera.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Levantar la suspensión de los siguientes apartados del artículo 1 de la Ley 2/2017, de 17 de febrero, de emergencia social de la vivienda de Extremadura: primero, que da nueva redacción al artículo 1.1 de la Ley 3/2001; tercero, en cuanto añade los apartados 13 y 15 al artículo 3 de la Ley 3/2001; cuarto, que añade un nuevo artículo 16 bis a la Ley 3/2001 y decimocuarto, que añade un nuevo apartado m) al artículo 58 de la Ley 3/2001.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Juan Antonio Xiol Ríos, respecto del Auto dictado en el recurso de inconstitucional núm. 5659-2017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respeto a la opinión mayoritaria de mis compañeros en la que se sustenta el Auto, manifiesto mi discrepancia con la argumentación y decisión de mantener la suspensión de los siguientes preceptos de la Ley 2/2017, de 17 de 18 febrero, de emergencia social de la vivienda de Extremadura: artículo 1.12, que da nueva redacción al artículo 54.3 de la Ley 3/2001; artículo 1.14, que añade un nuevo apartado l) al artículo 58 de la Ley 3/2001; artículo 2 y disposición transitoria primera.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se reconoce expresamente en el fundamento jurídico 4 del Auto del que discrepo, el mantenimiento de la suspensión de estos preceptos se fundamenta en idéntico riesgo de interferencia de una medida adoptada por el Estado para proteger a los deudores hipotecarios que dio lugar a los AATC 69/2014, de 10 de marzo; 115/2014, de 8 de abril; 135/2015, de 8 de junio; 144/2016, de 19 de julio; 160/2016, de 20 de septiembre; 18/2017, de 31 de enero y 118/2017, de 6 de septiembre. Las razones de mi discrepancia con el mantenimiento de la suspensión de estas medidas son las mismas que quedaron detalladas en los Votos particulares formulados a las resoluciones citadas, a los que ahora me remito.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veinte de marzo de dos mil dieciocho.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