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4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1246-2016 interpuesto por doña María Isabel Acuña López, recayó la STC 35/2018, de 23 de abril, por la que se estimaba el recurso, declarando vulnerado el derecho fundamental de la demandante de amparo a la tutela judicial efectiva (art. 24.1 CE), en su vertiente de derecho a la ejecución de las sentencias en sus propios términos y determinando que para el restablecimiento del derecho vulnerado cumplía declarar la nulidad del Auto de 20 de noviembre de 2015, dictados en el recurso de apelación núm. 27-2015 y la providencia de 22 de enero de 2016, dictados ambos por la Sección Vigesimocuarta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el Tribunal Constitucional el día 9 de mayo de 2018, la Procuradora de los Tribunales doña María Dolores Pérez Gordo, actuando en nombre y representación de doña María Isabel Acuña López, formuló solicitud de aclaración, al entender la recurrente que en nuestra sentencia se ha omitido pronunciamiento sobre la imposición de costas, cuando al haberse rechazado los motivos de forma invocados por la representación procesal de la recurrida en el FJ 2, debe procederse a tal imposición, de conformidad con lo establecido en el artículo 95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acceder a la aclaración solicitada. Tal y como manifestó el Tribunal Constitucional en su ATC 122/2017, de 18 de septiembre, en aplicación de su doctrina (por todos ATC 328/2003, de 20 de octubre), el artículo 267 de la Ley Orgánica del Poder Judicial, arbitra un cauce excepcional aplicable supletoriamente a esta jurisdicción constitucional [ex art. 80 de la Ley Orgánica del Tribunal Constitucional (LOTC)],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relativa a imposición de las costas causadas por el excónyuge de la demandante en amparo y parte solicitante de la aclaración de la Sentencia, puede entenderse implícitamente desestimada por esta Sala. Como ha declarado este Tribunal en repetidas ocasiones (por todas, STC 188/2006, de 19 de junio, FJ 5), la condena en costas en los procesos de amparo solo cabe cuando se aprecia en la parte o partes temeridad, mala fe o abuso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