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11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2146-2018, promovido por doña Cristina Nieto Báez contra providencias de la Sección Primera de la Sala de lo Contencioso-Administrativo del Tribunal Supremo, de 21 de diciembre de 2017 y de 6 de marzo de 2018, en el recurso de casación núm. 4277-2017 contra la Sentencia de 26 de abril de 2017 de la Sección Tercera de la Sala de lo Contencioso-Administrativo del Tribunal Superior de Justicia de Andalucía, con sede en Sevilla, en el recurso de apelación núm. 263-2017.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septiembre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613/2015, de 23 de septiembre, solicitado por la universidad de Huelva sobre revisión de oficio de contrato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amparo núm. 2146-2018,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