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29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febrero de 2018 tuvo entrada en el registro general de este Tribunal escrito firmado por el Procurador de los Tribunales don Manuel Ortiz de Urbina Ruiz, en nombre y representación de Maricris de Chipi, S.L., en virtud del cual interponía recurso de amparo contra la providencia de 8 de enero de 2018 del Juzgado de Primera Instancia núm. 1 de Cieza en autos de ejecución hipotecaria núm. 128-2013, que inadmitió a trámite la solicitud de revisión de un decreto de la Letrado de la Administración de Justicia, de 30 de octubre de 2017, por no caber recurso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 la recurrente en amparo había interpuesto previamente recurso de reposición contra la diligencia de ordenación de 6 de julio de 2017, que acordaba acceder a la solicitud de subasta interesada por la parte ejecutante sobre una finca de su propiedad (finca destinada a uso industrial) y contra el decreto de subasta, de 10 de julio de 2017, denunciando la infracción del artículo 682.2.1 de la Ley de enjuiciamiento civil (LEC). El decreto de 30 de octubre de 2017 desestimó ese recurso y consideró que debía dispensarse el requisito del artículo 682.2.1 LEC “por no ser un presupuesto exigido por la normativa vigente en el momento de la constitución de dicho derecho real de garantía, puesto que la misma tan solo exigía que en la escritura de constitución de la hipoteca se determinara el precio en que los interesados tasaban la finca o bien hipotecado, para que sirviera de tipo de subasta, y dicho requisito está plenamente cumplido en la misma al haber acordado las partes de común acuerdo el precio de la tasación, no pudiendo pretender ahora ir contra sus propios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sociedad demandante denuncia en su recurso de amparo la vulneración del derecho a la tutela judicial efectiva sin indefensión (art. 24.1 CE), ya que, según afirma, el artículo 454 bis.1 LEC veda al órgano judicial la revisión de cuestiones relevantes del proceso, que vienen a ser decididas por el letrado de la Administración de Justicia y deberían ser en cambio revisadas por jueces y magistrados, a quienes compete dispensar la tutela judicial, creándose por ello una zona de inmunidad al control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 la subasta, ya que, de celebrarse la misma, el amparo perdería su finalidad al culminarse un proceso de ejecución hipotecaría bajo un tipo de subasta cuya legalidad está en tela de juicio, con riesgo de que se dicte un decreto de aprobación del remate en favor del mejor postor, siendo esa resolución irrecurrible y resultando de ella la eventual adjudicación del bien a un tercero de buena fe, lo que la haría irreivindicable y generadora de un perjuicio irreparable para la sociedad ahora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17 de septiembre de 2018, la Sección Cuarta de este Tribunal acordó admitir a trámite el recurso de amparo. Por providencia de la misma fecha, la Sección formó la oportuna pieza para la tramitación del incidente de suspensión y, conforme a lo dispuesto en el artículo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24 de septiembre de 2018, el Procurador don Manuel Ortiz de Urbina Ruiz, en nombre y representación de Maricris de Chipi, S.L., formuló sus alegaciones, afirmando que la subasta se celebró, siendo la mejor postura ofrecida la de la entidad ejecutante, Caja Rural de Albacete, Ciudad Real y Cuenca, pero encontrándose pendiente el dictado del decreto de adjudicación y la toma de posesión del bien.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la suspensión de las actuaciones judiciales de ejecución ya que, si se dictase el decreto de adjudicación y se diera la toma de posesión del bien, culminará el proceso de ejecución hipotecaria con un perjuicio irreparable para la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el 28 de septiembre de 2018, interesa la suspensión solicitada, toda vez que, pese a tratarse de una resolución de carácter patrimonial, puede acabar afectando a derechos de terceros de buena fe que decidirán participar en la subasta y luego vieran su derecho cuestionado, o que convirtieran el bien adquirido de buena fe en inatacable e irrecuperable en el caso de que se otorgara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3 de octubre de 2018, la Secretaria de Justicia de la Sala Segunda del Tribunal Constitucional mantuvo una comunicación verbal con el Juzgado de Primera Instancia e Instrucción núm. 1 de Cieza, que informó que, en dicha fecha, no se había dictado Auto de adjudicación de la finca subastada en la ejecución hipotecaria núm. 128-2013.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128-2013 seguido en el Juzgado de Primera Instancia núm. 1 de Cieza.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de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artículo 117.3 CE (por todos, ATC 133/2016, de 22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(entre otros, ATC 178/2015, de 2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como recordáramos en el ATC 290/2014, de 1 de diciembre, FJ 1, por perjuicio irreparable se ha de entender aquel que provoque que el restablecimiento del recurrente en el derecho constitucional vulnerado sea tardío y convierta el amparo en meramente ilusorio y nominal.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reciente ATC 21/2018, de 5 de marzo, FJ 2). En el ámbito patrimonial, en suma, sólo hemos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Interesa subrayar que una consolidada doctrina constitucional, de la que es buena muestra el reciente ATC 58/2018, de 4 de junio, FJ 2, y los que en él se citan,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de la doctrina antes recogida y la circunstancia que viene de subrayarse permiten considerar la procedencia de adoptar la medida cautelar de suspensión ya que, en otro caso, se podría materializar la adjudicación y entrega de la posesión del bien en perjuicio de la entidad aquí recurrente,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no se percibe en este momento procesal que la suspensión de la ejecución pueda entrañar una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recurrida y de toda actuación judicial sucesiva que pudiera tener como efecto directo o derivado la adjudicación a terceros de la finca controvertida.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