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9 de enero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20 de julio de 2018 tuvo entrada en el registro general de este Tribunal Constitucional un escrito del procurador de los tribunales don Luis Fernando Álvarez Wiese, actuando en nombre y representación de don Josep Bru Segura, doña Josefa Bru Segura y doña María Teresa Bru Segura, por el que interpuso recurso de amparo contra la providencia de la Sección Undécima de la Audiencia Provincial de Barcelona, de 21 de diciembre de 2017, que inadmitió a trámite el incidente de nulidad de actuaciones promovido por dicha parte contra la Sentencia de 3 de noviembre de 2017; y contra los autos de 13 de abril de 2018 y 18 de mayo de 2018, dictados por la misma Sección, en respuesta a dos solicitudes de aclaración de aquella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los hechos relevantes para resolver la pretensión de suspensión del recurrente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3 de noviembre de 2017, la Sección Undécima de la Audiencia Provincial de Barcelona dictó sentencia estimatoria en el recurso de apelación núm. 75-2016, promovido por don Luis Bru Felip contra la sentencia del Juzgado de Primera Instancia e Instrucción núm. 3 de Igualada, de 1 de septiembre de 2015 (procedimiento ordinario núm. 255-2014), que había resultado estimatoria a su vez de la demanda interpuesta en acción de nulidad de escritura de manifestación y aceptación de herencia por los ahora recurrentes, contra el demandado apelante.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los ahora recurrentes se promovió incidente de nulidad de actuaciones contra la sentencia de apelación, alegando la vulneración del derecho a la tutela judicial efectiva (art. 24.1 CE), por emitir un pronunciamiento “arbitrario, ilógico e irrazonable” sobre el fondo controvertido.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respuesta, la sección juzgadora dictó una providencia el 21 de diciembre de 2017 por la que inadmitió a trámite el incidente, por cuanto “conforme el artículo 228.1 de la Ley de enjuiciamiento civil (LEC), sólo excepcionalmente se podrá pedir la nulidad de actuaciones, siempre que la vulneración de un derecho fundamental no haya podido denunciarse antes de recaer resolución que ponga fin al proceso y siempre que dicha resolución no sea susceptible de recurso ordinario ni extraordinario, requisito este último que no se cumple en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Solicitada la aclaración de la providencia, en el punto en el que indica que no se daba en este caso el requisito de no caber recurso ordinario ni extraordinario contra la Sentencia de apelación, como causa para no admitir a trámite el incidente, el 13 de abril de 2018 la Sección juzgadora dictó auto denegatorio de lo pedido, donde tras señalar en el fundamento de Derecho primero los motivos que permiten la aclaración de acuerdo con los artículos 267 de la Ley Orgánica del Poder Judicial (LOPJ) y 214.1 LEC, y pareciendo en el fundamento de Derecho segundo que va a hacerse referencia a la petición concretamente planteada, el Auto se limita a decir que “en el presente caso, no procede la aclaración solicitada en atención a la/s siguiente/s razones: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la representación procesal de los recurrentes en amparo se presentó escrito de alegaciones denunciando la falta de motivación del antedicho auto de 13 de abril de 2018, suplicando a la Audiencia que hiciera constar las razones por las que no había procedido a la aclaración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auto de 18 de mayo de 2018, la sección juzgadora estimó en parte la aclaración solicitada, completando el fundamento jurídico segundo del auto de 13 de abril de 2018 “en el sentido que antecede”, sin haber lugar “a más aclaraciones”. Los fundamentos de Derecho del Auto de 18 de mayo de 2018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Ciertamente, nuestro Auto de 13 de abril de 2018 aparece con un fundamento jurídico segundo en blanco, prácticamente.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Aunque son, en síntesis las mismas razones que las expuestas en la providencia de 21 de enero de 2017 [sic], es preciso completar esta resolución en debida forma transcribiendo efectivamente las razones de la Sala para desestimar la petición de aclaración formulada (que no aparecen por razones que se nos escapan —error de transcripción o de tratamiento informático no advertido al firmar—).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razones son la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Si bien es cierto que al cuerpo de la sentencia no contiene mención de posibles recursos y que ello es una mala práctica derivada de que se solía notificar con la notificación (y hasta era una labor reivindicada por los secretarios), nunca se ha pedido compleción de la misma a este efecto dentro del plazo de dos días del artículo 215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La sentencia fue notificada en fecha 15de noviembre de 2017 a las dos partes. Nadie pidió aclaración alguna, como hemos visto, en plazo. En fecha 18 de diciembre de 2017 se presenta un escrito interponiendo incidente de nulidad de actuaciones que ha sido inadmitido por entender que debieron articularse las supuestas causas de nulidad en o a través de recurso extraordinario por infracción procesal (plazo veinte días hábiles desde la notificación, artículo 470 LEC, de suerte que cuando se interpone el incidente ya ha precluído el plazo), recurso que sólo puede admitirse si se interpone conjuntamente con el de casación (siendo la tramitación del litigio a todas luces por cuantía indeterminada sólo cabía el recurso de casación por interés casacional).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Sigue entendiendo esta Sala que no cabía dar entrada al incidente de nulidad por cuanto no se había siquiera intentado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Se pidió en 8 de enero de 2018 una aclaración de la providencia de 21 de diciembre de 2017 pretendiendo que la emisora debió incluir los recursos que cabían contra la sentencia. Lo cual no es así, por cuanto su aclaración debería de haberlo sido de la sentencia, si se hubiera pedido.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No procede tampoco ahora más aclaraciones que las que se hacen aquí.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Contra este Auto no cabe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del derecho a la tutela judicial efectiva (art. 24.1 CE), por la providencia de inadmisión del incidente de nulidad de actuaciones interpuesto contra la sentencia de apelación, ya que tal providencia resuelve con base en una premisa “objetivamente errónea” que ha distorsionado la norma legal, “siendo la decisión tomada consecuencia de una aplicación arbitraria de la legalidad”. Cita doctrina constitucional sobre el artículo 24.1 CE en su faceta de derecho a una resolución fundada en Derecho, y cuándo la misma puede conculcarse, explicando luego que la sentencia de apelación no hizo indicación de qué recurso podía caber contra ella. No obstante lo cual y conforme a la ley, prosigue diciendo, solo podían serlo el recurso extraordinario por infracción procesal o el de casación, “pero no de manera absoluta, sino solamente si se daban algunos de los supuestos establecidos en la LEC. Tal como reiteradamente pone de manifiesto la doctrina del Tribunal Supremo, el derecho a los recursos está condicionado al cumplimiento de los requisitos de admisibilidad admitidos por el legislador y delimitados por vía interpretativa por dicho alto Tribunal. Por ello, aunque en la sentencia se hubiese especificado que cabía la interposición de los recursos de casación y/o extraordinario por infracción procesal, esta parte tampoco los hubiera interpuesto por entender que no eran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mencionan a continuación algunos de los criterios expresados por la Sala Primera del Tribunal Supremo para la admisibilidad de dichos recursos, aprobados en su acuerdo de 27 de enero de 2017, y se sostiene por la demanda que no cabía en este caso el recurso de casación por interés casacional pues este “no puede versar sobre cuestiones procesales propias del recurso extraordinario por infracción procesal y, por ello, con el recurso de casación no se puede pretender una revisión de los hechos probados ni una nueva valoración probatoria”. A su vez, añade, conforme a lo previsto en la disposición final decimosexta LEC, solo es posible interponer el recurso extraordinario por infracción procesal de manera independiente al de casación, cuando éste se funde en motivos legales distintos al que aquí era posible invocar, pues siendo el pleito de cuantía indeterminada la única vía era la del interés casacional pero esta, por lo expuesto, no procedía.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Secretaría de Justicia de la Sección Cuarta, Sala Segunda, de este Tribunal Constitucional, dictó diligencia de ordenación el 25 de julio de 2018 concediendo plazo de diez días a la representación procesal de los demandantes de amparo, para que acreditase fehacientemente la fecha de notificación de la resolución recurrida en amparo, con apercibimiento de contrario de poderse inadmitir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requerimiento quedó cumplimentado por escrito del procurador actuante presentado en el registro de este Tribunal el 5 de septiembre de 2018, al que adjuntó certificación de la Letrada de la Administración de Justicia de la Sección Decimoprimera de la Audiencia Provincial de Barcelona, de 31 de julio de 2018, donde consta que la última de las resoluciones dictadas por dicho órgano judicial, el Auto de 18 de mayo de 2018, se notificó a la parte el 8 de junio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Cuarta, Sala Segunda, de este Tribunal, de 26 de noviembre de 2018, se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acordó dirigir atenta comunicación a la Sección Decimoprimera de la Audiencia Provincial de Barcelona, y al Juzgado de Primera Instancia núm. 3 de Igualada, para que en plazo que no excediera de diez días remitieran, respectivamente, certificación o fotocopia adverada del rollo de apelación núm. 75-2016 y del procedimiento ordinario núm. 255-2014; debiendo el juzgado practicar además el emplazamiento de quienes fueron parte en la causa, excepto los recurrentes en amparo, para que si lo desean pudieran comparecer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representante procesal de los demandantes de amparo, presentó escrito con fecha 3 de diciembre de 2018, por el que interesó la suspensión de las resoluciones judiciales recurridas de la Sección Decimoprimera de la Audiencia Provincial de Barcelona. Con base en lo dispuesto en el artículo 56.2 LOTC, se señaló como fundamento de lo pedido que el Juzgado de Primera Instancia núm. 3 de Igualada había dictado auto el 27 de febrero de 2014, en el procedimiento de medidas cautelares 856-2013 y copia de cuya resolución acompañó como documento 1, por la que se accedió a la medida solicitada entonces por dicha parte, previa a la interposición de demanda, “consistente en la prohibición a D. Luis Bru Felip de poder disponer de las fincas 19984, 19985, 19986, 20038 y 20039, tanto inter vivos como mortis causa, con suspensión de la vigencia de las inscripciones relativas a la donación de las fincas por causa de muerte practicadas en el registro de la propiedad núm. 1 de Igualada, con la correspondiente anotación en dicho registro”; adjuntando como documento 2 una copia del mandamiento expedido por el juzgado, al citado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auto de 27 de febrero de 2014, prosigue diciendo el escrito de alegaciones, se ordenó a los mandantes para la procedencia de la medida, que constituyeran caución por importe de veinte mil euros, la cual éstos depositaron en la cuenta del Juzgado, lo que acredita con copia del resguardo de ingreso, como documento núm. 3. Dentro del plazo previsto en el artículo 730.2 LEC se dedujo así ante el mismo juzgado, la demanda de juicio ordinario que culminó con la Sentencia de 1 de septiembre de 2015 ya mencionada, contra la que se formalizó recurso de apelación resuelto por la dictada por la Sección Undécima de la Audiencia Provincial, el 3 de noviembre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estos datos, el escrito de alegaciones señala que “la ejecución de las resoluciones impugnadas de la Sección Decimoprimera de lo Civil de la Audiencia Provincial de Barcelona produce un perjuicio a mis mandantes que pudiera hacer perder al amparo su finalidad, por lo que procede decretar su suspensión, de tal manera que siguiera estando en vigor la medida cautelar ya decretada el 27 de enero [sic] de 2014”, cuyo contenido reitera.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dictada por la Sección Cuarta de este Tribunal el 10 de diciembre de 2018, se acordó unir a las actuaciones el anterior escrito, “teniéndose por interesada la suspensión de la ejecución de la resolución recurrida en amparo y, conforme a lo dispuesto en el art. 56.4 de la LOTC, fórmese la correspondiente pieza separada para la sustanciación del referido incidente de suspensión, en donde se acordará lo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misma fecha, la Sección Cuarta dictó una nueva providencia acordando formar con fotocopia de las actuaciones del recurso, “la oportuna pieza para la tramitación del incidente sobre suspensión y conforme determine el artículo 56 de la Ley Orgánica de este Tribunal, conceder un plazo común de tres días a la parte recurrente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escrito registrado el 17 de diciembre de 2018, la representación procesal de los demandantes de amparo presentó sus alegaciones en esta pieza separada, ratificándose en su escrito de 3 de diciembre del mismo mes, con reiteración de la solicitud de suspensión de la ejecución de las resoluciones impugnadas de la Sección Decimoprimera de la Audiencia Provincial de Barcelona.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 fecha 28 de diciembre de 2018, el Fiscal ante este Tribunal presentó escrito de alegaciones por el que interesó la denegación de la medida de suspensión solicitada, y que en cambio se acordara la anotación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Luego de un resumen de las actuaciones relacionadas con esta pieza incidental, y de citar doctrina general de este Tribunal en interpretación del art. 56.1 LOTC, acerca de los requisitos y límites para poder acordar la medida de suspensión de las resoluciones recurridas, el escrito de alegaciones resalta que el criterio general es que no procede suspender los fallos judiciales de contenido patrimonial, los cuales permiten la restitución íntegra de lo ejecutado, aunque ello no excluye tampoco la posibilidad de determinar su imposible o difícil reparación en algún caso, cuidando además de no causar un perjuicio a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Sentado esto y en relación al caso planteado, alega el Fiscal en su escrito que “la petición de suspensión de las resoluciones recurridas parece excesiva, ya que lo que se pretende es que unos bienes, de aparente titularidad exclusiva de la contraparte, queden ‘congelados’ privándole al que venció en juicio ordinario de su facultad dispositiva, ya que de lo contrario podrían acabar en manos de terceros que, protegidos por su buena fe, convirtieran las fincas objeto de la controversia en inalcanzables para su hipotética restitución caso de prosperar el amparo solicitado. Mucho más eficaz para conseguir el efecto protector deseado por los recurrentes sería la anotación preventiva de la demanda de amparo en el registro de la propiedad, puesto que constan inscritas las fincas adquiridas por la donación mortis causa cuya eficacia se discute, ya que de esta manera se daría publicidad frente a terceros de la pendencia del recurso, lo que conlleva el conocimiento de los efectos que sobre la titularidad de las fincas puede tener el otorgamiento del amparo en su caso, evitando que el hipotético tercero adquirente queda especialmente protegido por su buena fe en la adquisición”. Cita en respaldo de esta medida, para su adopción por este Tribunal, aunque no la haya solicitado la parte recurrente del amparo, el ATC 95/2015, tras lo cual finaliza reiterando la procedencia de que se acuerde dicha anotación preventiva, evitando situaciones cuya reversibilidad deviniera poco menos que imposible.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expuesto en los antecedentes de esta resolución, una vez que se ha admitido a trámite su recurso los demandantes de amparo han presentado un escrito solicitando la suspensión “de las resoluciones recurridas” dictadas por la Sección décimoprimera de la Audiencia Provincial de Barcelona, pues de lo contrario entienden que podría hacer perder al recurso su finalidad. Se refieren con ello, en realidad, no a la suspensión de algún pronunciamiento concreto de la sentencia de la Audiencia Provincial de 3 de noviembre de 2017 —resolución ésta no recurrida en este amparo—, ni tampoco a lo resuelto posteriormente por dicho tribunal en la providencia de 21 de diciembre de 2017 y Autos de 13 de abril y de 18 de mayo de 2018 sí recurridos. Se refiere más bien a la consecuencia legal que deriva de la estimación del recurso de apelación por aquella sentencia, a la sazón devenida firme, en cuanto al alzamiento de oficio de las medidas cautelares hasta entonces en vigor (art. 745 LEC). En concreto, se pretende que mientras se tramita el presente recurso de amparo se mantenga la medida de prohibición de disponer al demandado en la instancia y apelante, de cinco fincas sitas en el término municipal de Igualada que han sido objeto de litigio entre las partes, medida de prohibición que fue ordenada por el Juzgado de Primera Instancia competente en Auto de 27 de febrero de 2014, practicándose la correspondiente inscripción registral.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56.1 de nuestra Ley Orgánica preceptúa que “la interposición del recurso de amparo no suspenderá los efectos del acto o sentencia impugnados”. Y en el apartado 2, que “ello no obstante,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ocasiones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interpretación de este sistema, por lo que hace al ámbito material en el que se suscita la presente solicitud, nuestro ATC 95/2015, de 25 de mayo, citado por el Fiscal en su escrito de alegaciones, señala en su fundamento jurídico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“[T]ratándose como aquí sucede de la suspensión de resoluciones judiciales con efectos de naturaleza patrimonial, nuestra doctrina ha establecido que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573/1985, de 7 de agosto, FJ único; 574/1985, de 7 de agosto, FJ único; o 275/1990, de 2 de julio, FJ 2). Sí hemos accedido a la suspensión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(AATC 565/1986, de 2 de julio, FJ único; y 52/1989, de 30 de enero, FJ único) o el lanzamiento de una vivienda o local (AATC 313/2005, de 18 de julio, y 435/2006, de 23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 cuanto a la carga de acreditar la realidad del perjuicio irreparable o de muy difícil reparación, tenemos dicho: ‘Es doctrina constante del Tribunal que para excepcionar la regla general de la no suspensión es carga del recurrente probar que la ejecución del acto o Sentencia impugnados deba producirle un perjuicio que hiciere perder al amparo su finalidad’ (por todos AATC 39/2008, de 11 de febrero, FJ 1; 40/2008, de 11 de febrero, FJ 3; y 59/2008, de 20 de febrero, FJ 2). Así respecto de la carga alegatoria y probatoria del incidente en ATC 36/2007, de 12 de febrero, FJ 2, hemos afirmado: ‘la acreditación del perjuicio es carga del recurrente, quien debe precisar los concretos perjuicios que de la ejecución se deriven, así como justificar o argumentar razonadamente la irreparabilidad de los mismos (AATC 107/1981, 226/1982, 385/1983, y 193/1984). A la par hemos dicho que, en todo caso, el perjuicio irreparable debe ser real, sin que sea posible alegar un perjuicio futuro o hipotético o un simple temor (AATC 490/1984, 399/1985, y 51/1989,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AATC 3/2016, de 18 de enero, FJ 1; 68/2016 y 69/2016, ambos de 11 de abril, FJ 2; y 137/2017, de 16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la anterior doctrina al caso aquí planteado, tenemos que en el escrito de alegaciones donde se solicita la medida de suspensión de las resoluciones recurridas, esto es, que se mantenga en vigor la prohibición de disponer ya indicada, se afirma que de no hacerse así el presente amparo perdería su finalidad. Ahora bien, no se alega que alguna de las fincas sea la vivienda habitual de uno o más de los recurrentes, o que en ella se lleve a cabo una actividad comercial que hubiera sido explotada por los recurrentes como fuente de ingresos.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estos datos (lo que se afirma y lo que no), resulta trasladable la solución denegatoria adoptada ante un supuesto similar por el ya citado ATC 95/2015, FJ 3, ocasión en la que razonamos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todo, ha de precisarse que no nos encontramos ante un proceso de ejecución que hubiere de paralizarse porque en él está prevista la realización forzosa del bien, lo que podría conllevar su adquisición por un tercero en condiciones que lo hagan irreivindicable. De manera distinta, se trata de un pronunciamiento de nulidad de escrituras e inscripciones registrales previamente practicadas…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perjuicio que se deriva de la efectividad del pronunciamiento que se quiere suspender, por tanto, no se antoja irreversible o de difícil reparación, pues no lo es la sola pérdida de la propiedad del bien que produce aquella nulidad; situación que por sí misma no es tenida en cuenta ni por el legislador orgánico ni por la doctrina de este Tribunal para conceder la suspensión de resoluciones judiciales firmes. Por lo demás, resulta evidente que no conforma el objeto del presente recurso de amparo dilucidar a quién ha de tenerse por legítimo dueño de la finca…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y el escrito posterior de alegaciones deducido en esta pieza separada, no han acreditado que exista la imposibilidad de reparación, limitándose a señalar que existe un riesgo de que el inmueble pueda ser transmitido a terceros de buena fe en el futuro, sin determinar en qué términos. Con arreglo a esta falta de acreditación del daño que le resultaba exigible a la recurrente, se deniega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Ahora bien, como no puede desconocerse que la tutela jurisdiccional que se solicita de este Tribunal podría no ser completa si a la postre las fincas fueran transmitidas a un tercero de buena fe mientras se sustancia y resuelve el presente proceso de amparo, cabe acceder a la solicitud efectuada por el Fiscal en su escrito de alegaciones, al proponer como medida alternativa y suficiente la de la anotación preventiva de la demanda de amparo, la cual puede ser adoptada según doctrina de este Tribunal, incluso de oficio y aunque no haya sido solicitada por la parte recurrente. Así, de acuerdo con lo explicado en el mismo ATC 95/2015, en el FJ 4, hemos dicho: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duda de que ‘este Tribunal está facultado para acordar la anotación preventiva de la demanda de amparo en el registro de la propiedad a fin de garantizar los derechos de los demandantes de amparo frente a eventuales actos de disposición, mediante el anuncio registral frente a terceros de la pendencia del proceso constitucional con sus eventuales consecuencias sobre los derechos inscritos. Se trata de una medida cautelar que este Tribunal, de conformidad con el artículo 56 LOTC, puede adoptar de oficio o a instancia de parte, con fundamento en el artículo 42.1 de la Ley hipotecaria (AATC 274/2002, de 18 de diciembre; 257/2003, de 14 de julio; 230/2007, de 7 de mayo, FJ 3; y 415/2007, de 5 de noviembre, FJ 4) y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similar sentido, ATC 97/2017, de 19 de junio,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acceder por tanto a lo propuesto por el Fiscal en su escrito de alegaciones, a cuyo efecto ordenamos que se practique la anotación de la demanda de amparo del presente recurso, en relación con los bienes inmuebles identificados por los demandantes (fincas registrales núms. 19984, 19985, 19986, 20038 y 20039) en el registro de la propiedad núm. 1 de Igualada.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de la ejecución de la sentencia de la Sección Undécima de la Audiencia Provincial de Barcelona, de 3 de noviembre de 2017; de la providencia de 21 de diciembre de 2017 y de los Autos de 13 de abril de 2018 y 18 de mayo de 2018, dictados por dicho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Acordar la anotación preventiva de la demanda de amparo en el registro de la propiedad núm. 1 de Igualada, a cuyo efecto el Juzgado de Primera Instancia núm. 3 de Igualada habrá de expedir el mandamiento oportuno para que pueda practicarse la misma, en relación con los inmuebles a los que se refieren las presentes actuaciones, de acuerdo con la legislación procesal e hipotecaria.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enero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