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6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1373-2018, promovido por la Administración General del Estado, contra la sentencia de la Sección Tercera de la Sala de lo Contencioso-Administrativo del Tribunal Supremo de 7 de diciembre de 2017, recaída en el recurso de casación núm. 122-2016, y el auto de 29 de enero de 2018, que desestimó el incidente de nulidad de actuaciones promovido frente a la anterior. Han intervenido la entidad Asociación de Empresas Eléctricas (ASEME), representada por la procuradora de los tribunales doña Cecilia Díaz-Caneja Rodríguez y defendida por la letrada doña Irene Bartol Mir, la entidad Iberdrola S.A., representada por el procurador de los tribunales don José Luis Martín Jaurebeitia y defendida por el letrado don José Giménez Cervantes, y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marzo de 2018, el abogado del Estado, en representación de la Administración General del Estado,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6 de mayo de 2014, la entidad Asociación de Empresas Eléctricas (ASEME), interpuso recurso contencioso-administrativo contra la Orden IET/350/2014, de 7 marzo, por la que se fijan los porcentajes de reparto de las cantidades a financiar relativas al bono social correspondientes a 2014, la cual tiene como base normativa el art 45.4 de la Ley 24/2013, de 26 diciembre, del sector eléctrico (LSE).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5 de septiembre de 2015 ASEME presentó la demanda del recurso contencioso-administrativo, solicitando (i) que se declarase la ilegalidad y consiguiente inaplicación de la Orden IET/350/2014, de 7 marzo, y del art 45.4 de la LSE, por vulneración de lo dispuesto en el art 3 de la Directiva 2009/72 del Parlamento Europeo y del Consejo, de 13 de julio de 2009, sobre normas comunes para el mercado interior de la electricidad, por considerar que el mecanismo de financiación del bono social que se establece por las normas cuya inaplicabilidad se solicita es discriminatorio y no garantiza a las empresas eléctricas de la Unión Europea el acceso en igualdad de condiciones a los consumidores nacionales; ii) se declarase la ilegalidad y consiguiente anulación de la Orden IET/350/2014, de 7 marzo y del art 45.4 LSE 24/2013, por vulneración de los dispuesto en el art 9.3 y 14 CE, en la medida que el mecanismo de financiación del bono social que establecen esas normas resulta discriminatorio y por ello arbitrario; (iii) se declarase la ilegalidad y consiguiente anulación de la Orden IET/350/2014, de 7 marzo y del art 45.4 LSE 24/2013, por vulneración de los arts. 39 y 41 CE, al no configurarse el bono social como un coste a cargo de los presupuestos generales, siendo una ayuda social que debe recaer en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citado recurso contencioso-administrativo, registrado con el núm. 181-2014, conoció la Sección Cuarta de la Sala de lo Contencioso-Administrativo de la Audiencia Nacional que, tras la tramitación del procedimiento, dictó sentencia el 2 de diciembre de 2015 desestimando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sentencia dictada por la Sala de lo Contencioso-Administrativo de la Audiencia Nacional, interpuso ASEME recurso de casación, del que, con el núm. 122-2016, conoció la Sección Tercera de la Sala de lo Contencioso-Administrativo del Tribunal Supremo que dictó sentencia el 7 de diciembre de 2017, estimando el recurso de casación y anulando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la Sección Tercera de la Sala de lo Contencioso Administrativo del Tribunal Supremo estimó el recurso contencioso-administrativo interpuesto por ASEME y estableció el derecho de la recurrente a ser indemnizada por las cantidades abonadas en concepto de bono social en aplicación de la Orden IET/350/2014, de 7 marzo, que fue dictada en desarrollo del art 45.4 LSE, debiendo serle reintegradas todas las cantidades abonadas en ese concepto y correspondientes a 2014, con los intereses legales desde la fecha del pago hasta su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 remite a las sentencias de la misma Sala de 24 de octubre de 2016 (recursos contencioso-administrativos núm. 960-2014 y 961-2014), 25 de octubre de 2016 (recurso núm. 16-2015) y 2 de noviembre de 2016 (recurso núm. 11-2015), en las que se declara inaplicable el régimen de financiación del bono social establecido en el artículo 45.4 de la Ley 24/2013, de 26 de diciembre, por resultar incompatible con la Directiva 2009/72/CE, del Parlamento Europeo y del Consejo, de 13 de julio de 2009, y se declara también inaplicables y nulos los artículos 2 y 3 del Real Decreto 968/2014, de 21 de noviembre, que desarrollan lo dispuesto en el citado artículo 45.4 de la Ley 24/2013,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Tomando como muestra las resoluciones recaídas en el recurso contencioso-administrativo núm. 961-2014 recuerda lo que señala el fundamento jurídico 7 de la sentencia de 24 de octubre de 2016: “La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ésta mediante el Real Decreto 968/2014- la que vino a identificar a las entidades concernidas y a fijar los porcentajes de reparto de las cantidades a financiar relativas al bono social correspondiente a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también se refiere al auto de la Sala de lo contencioso-administrativo del Tribunal Supremo de 18 de septiembre de 2017 (recurso núm. 961-2014), que señala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pronunciamientos trascritos la sentencia del Tribunal Supremo examinada extrae la siguiente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 interpuesto recursos de casación que se encontraban en aquel momento pendientes de resolución (recurso de casación 3127/2015, 3332/2015, 3374/2015, 3864/2015, 3875/2015, 3885/2015, 122/2016, 149/2016 y 714/2016)”.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la abogacía del Estado promovió incidente de nulidad de actuaciones en el que se alegaba vulneración del derecho a la tutela judicial efectiva y al proceso con todas las garantías, en cuanto al no planteamiento de cuestión prejudicial ante el Tribunal de Justicia de la Unión Europea y por no haberse planteado cuestión de inconstitucionalidad, e incongruencia omisiva. La Sección Tercera de la Sala de lo Contencioso del Tribunal Supremo desestimó dicho incidente de nulidad por auto de fecha 29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planteamiento de la cuestión prejudicial, el órgano judicial rechaza que se hayan producido las vulneraciones objeto de denuncia, toda vez que en las sentencias antes citadas de 24 de octubre de 2016 (dos sentencias con esa fecha dictadas en los recursos 960-2014 y 961-2014), 25 de octubre de 2016 (recurso 16-2015) y 2 de noviembre de 2016 (recurso 11-2015), se explicitan las causas por las que no resulta precisa su formulación. En concreto, refiere que “no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análogas a las señaladas también se descarta la queja por no haberse planteado cuestión de inconstitucionalidad: “Una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desecha la queja de haber incurrido en incongruencia omisiva, pues “si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a que dicha Orden sirve de desarrollo— hacía innecesario el examen de aquellos argumentos de oposición, como innecesario se consideró también el examen de los motivos de casación formulados por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General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los aspectos más relevantes del procedimiento judicial, la parte recurrente justifica la especial trascendencia constitucional del recurso por considerar que 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 la STC 232/2015, dejar de aplicar una ley interna sin previamente plantear cuestión prejudicial ante el Tribunal de Justicia de la Unión Europea,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esta perspectiva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por considerar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la demanda se refiere exclusivamente a las sentencias del Tribunal Supremo a las que se remite la impugnada.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La demanda sostiene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Anode),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de la Unión Europea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afirma que la sentencia recurrida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pues ni puede imponerse con tal evidencia la similitud entre asuntos, de manera que no quepa albergar duda razonable sobre la solución de la cuestión, ni tampoco la cuestión suscitada es materialmente idéntica a otra anterior que hubiera sido objeto de una decisión prejudicial. Para la parte recurrente el Tribunal Supremo sustenta la aplicación al caso de la doctrina del “acto aclarado” en las sentencias recaídas en los asuntos Federutility y Anode que constituyen supuestos análogos que, conforme a la “doctrina Cilfit”, justifican la inaplicación del art. 45.4 LSE. Sin embargo, respecto de la sentencia del Tribunal de Justicia de la Unión Europea de 20 de abril de 2010 —asunto Federutility—,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administración esta cuestión no puede considerarse materialmente idéntica a la que se suscita en el presente caso, pues la supuesta discriminación que aprecia el tribunal a quo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Federutility para ser invocada como supuesto idéntico en relación con la asunción de la financiación de ciertos costes del sector eléctrico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respecto a la segunda de las sentencias traídas a colación por el Tribunal Supremo, esto es, la sentencia del Tribunal de Justicia de la Unión Europea de 7 de septiembre de 2016 —asunto Anode— su doctrina no la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éstos se refieren a la protección de los consumidores vulnerables, aspecto este que es completamente ajeno a la determinación de los componentes del precio del gas en aquel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para la demandante tampoco cabe entender que las consideraciones que se formulan en el parágrafo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demanda invoca algunos de los argumentos que figuran en el voto particular formulado por el magistrado disidente a la sentencia de 24 de octubre de 2016, consistentes, en síntesis, en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en el presente caso y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y iii) el juez nacional ha resuelto el proceso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julio de 2018, la Sección Cuarta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En aplicación de lo dispuesto en el art. 51 de la Ley Orgánica del Tribunal Constitucional (LOTC), se acordó dirigir atenta comunicación a la Sección Tercera de la Sala de lo Contencioso-Administrativo del Tribunal Supremo a fin de que, en plazo que no excediera de diez días, remitiera certificación o fotocopia adverada de las actuaciones correspondientes al recurso de casación núm. 122-2016. Asimismo se acordó dirigir atenta comunicación a la Sección Cuarta de la Sala de lo Contencioso-Administrativo de la Audiencia Nacional, para que en el mismo plazo remitiese certificación o fotocopia adverada de las actuaciones correspondientes al recurso contencioso-administrativo núm. 181-2014 y procediese a emplazar a quienes hubieran sido parte en el procedimiento, a excepción de la parte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requeridas de los órganos judiciales, por diligencia de ordenación de la secretaría de justicia de la Sección Cuarta de este Tribunal de fecha 24 de septiembre de 2018, se acordó tener por personados y partes en el procedimiento al procurador don José Luis Martín Jaureguibeitia, en nombre y representación de Iberdrola, S.A., y a la procuradora doña Cecilia Díaz-Caneja Rodríguez, en nombre y representación de Asociación de Empresas Eléctricas (ASEME), ordenándose entender con ella las sucesivas diligencias, y, con arreglo al art. 52 LOTC,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22 de octubre de 2018 el ministerio fiscal presentó su escrito de alegaciones en el que termina solicitando que se 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la parte recurrente, argumenta el fiscal ante el Tribunal Constitucional lo que se sintetiza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explica el mecanismo del bono social que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el régimen de financiación del bono social. Esas disposiciones, recuerda el ministerio público, fueron enjuiciadas en la sentencia de la Sala Tercera del Tribunal Supremo de 7 de febrero de 2012, que consideró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Federutility. Ello condujo a la Sala Tercera a declarar la inaplicabilidad del régimen de financiación del bono social establecido en las normas españolas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establece que “será asumido por las matrices de los grupos de sociedades o, en su caso, sociedades que desarrollen simultáneamente las actividades de producción, distribución y comercialización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adelante, advierte de que la sentencia del Tribunal Supremo considera que los criterios reflejados en la exposición de motivos del Real Decreto-ley 9/2013 no justifican debidamente el sistema de financiación del bono social que, en síntesis, corre a cargo de las sociedades que realizan simultáneamente las actividades de generación, distribución y comercialización en el sector eléctrico. Tampoco, según la referida sentencia, aparece debidamente justificado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Tratado de funcionamiento de la Unión Europea.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Dhabi contra Italia, también pone de manifiesto, en relación con el derecho al proceso debido reconocido en el art 6.1 del Convenio Europeo para la protección de los derechos humanos y de las libertades fundamentales, que los órganos judiciales nacionales deben justificar, de acuerdo con la doctrina del Tribunal de Justicia de la Unión Europea, los supuestos por los que deciden no plantear cuestión prejudicial y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sintetizar la doctrina Cilfit sobre los supuestos de dispensa del planteamiento de la cuestión prejudicial, el ministerio fiscal compendia la argumentación judicial dada a favor de omitir la cuestión prejudicial. Sobre ese particular, pone de relieve que, en el fundamento jurídico 8 de las sentencias a las que se remite la recurrida, se afirma que, en la sentencia de 7 de febrero de 2012, el Tribunal Supremo resolvió que no era necesario plantear esa cuestión respecto de la correcta aplicación del art. 3.2 de la Directiva 2003/54/CE, sobre normas comunes para el mercado interior de la electricidad, puesto que ya existía una decisión prejudicial al respecto, concretamente la sentencia del Tribunal de Justicia de la Unión Europea de 20 de abril 2010 recaída en el asunto Federutility, que la referida resolución consideró como “acto aclarado”. En relación con el presente supuesto, el órgano judicial también considera que existen decisiones prejudiciales del Tribunal de Justicia de la Unión Europea en casos análogos; en concreto, la ya citada sentencia del Tribunal de Justicia de 20 de abril de 2010, dictada en al asunto Federutility, y la de 7 de septiembre de 2016, recaída en el asunto Anode. En relación con esta última sentencia, señala que el órgano judicial apreció que las consideraciones que en dicha resolución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comparte el criterio de la administración recurrente acerca de que el Tribunal Supremo no ha justificado realmente que concurra un supuesto de “acto aclarado”, pues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considerar que pueden ser aplicables, para resolver la cuestión controvertida, unas decisiones prejudiciales del Tribunal de Justicia de la Unión Europea que se pronuncian sobre la interpretación de las Directivas relativas al mercado del gas —y no sobre las del mercado de la electricidad— y además se refieren a otro tipo de obligaciones de servicio público distintas del bono social. La sentencia del caso Anode versa sobre un supuesto en el que la norma legal controvertida impone a determinadas empresas suministradoras de gas un precio regulado a clientes finales, a fin de garantizar el suministro y la cohesión territorial y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entiende que no se ha apreciado correctamente la doctrina del “acto aclarado”, pues el objeto de la decisión prejudicial que fue resuelta por el Tribunal de Justicia de la Unión Europea (caso Anode) no puede ser considerado idéntico o análogo al actual; se trata de Directivas distintas, cuya aplicación se proyecta sobre los mercados interiores de dos productos energéticos diferentes (gas y energía); y la norma legal controvertida impone un precio regulado a determinadas suministradoras de gas, a fin de garantizar el suministro y la cohesión social (asunto Anode), mientras que en el proceso de origen del presente recurso de amparo, la cuestión discutida se refiere al régimen de financiación del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reitera que el tribunal a quo no ha apreciado correctamente la doctrina del “acto aclarado”, ya que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tal y como pone de relieve la sentencia. También incide a favor de esas dudas la existencia de un voto particular en las sentencias dictadas por la Sección Tercera de la Sala de lo Contencioso del Tribunal Supremo en las que se basa la sentencia impugnada en esta sede y el dictamen del Consejo de Estado relativo al proyecto de orden por el que se desarrolla la metodología para la fijación de los porcentajes de reparto de las cantidades a financiar respecto del bono social, que satisface los requisitos impuestos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interesando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de los tribunales doña Cecilia Díaz-Caneja Rodríguez, en nombre y representación de ASEME, presentó sus alegaciones ante este Tribunal el 25 de octubre de 2018, interesando la inadmisión y, subsidiariamente,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delimitar el objeto del recurso y expresar su posición respecto del mismo, alega, en primer lugar, que procede su inadmisión por insuficiente justificación de la especial trascendencia constitucional, requisito indispensable para la admisión de acuerdo con el art. 50 LOTC. A su juicio, la demanda se limita a reiterar la supuesta existencia de la lesión de derechos fundamentales aducida, lo que resulta insuficiente según reiterada doctrina del Tribunal, citando al efecto las SSTC 128/2014, de 21 de julio, y 77/2015,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esta parte codemandada que procede la inadmisión del recurso de amparo porque el mismo carece de especial trascendencia constitucional. A su juicio resulta improcedente justificar la especial trascendencia constitucional en la supuesta inexistencia de doctrina consolidada al respecto de los supuestos de exoneración en el planteamiento de cuestiones prejudiciales ante el Tribunal de Justicia de la Unión Europea, ya que este Tribunal se ha pronunciado en numerosas ocasiones sobre esta cuestión, refiriéndose a las SSTC 78/2010, de 20 de octubre; 145/2012, de 2 de julio, y 232/2015, de 5 de noviembre. Finalmente, dentro de este mismo apartado, admitiendo el carácter indeterminado del contenido de la expresión “especial trascendencia constitucional”, argumenta que no concurre ninguno de los supuestos contemplados en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aduce que procede la inadmisión o, subsidiariamente, la desestimación del recurso por inexistencia de las vulneraciones de los derechos fundamentales denunciadas. A su juicio, la sentencia impugnada no incurre en falta de motivación en lo que respecta a la posibilidad de inaplicar la normativa interna sin necesidad de plantear cuestión prejudicial, señalando que la simple discrepancia entre las partes no es justificación suficiente para apreciar la falta de motivación de la sentencia. Tampoco se ha producido vulneración del derecho a la tutela judicial efectiva sin indefensión y al proceso con todas las garantías (apartados 1 y 2 del art. 24 CE), alegando al respecto el precedente de inadmisión del recurso de amparo interpuesto por la Administración General del Estado contra la sentencia del Tribunal Supremo de 7 de febrero de 2012 (recurso contencioso-administrativo núm. 419-2010), sobre un supuesto de hecho que califica de “prácticamente idéntico”. Se refiere después a la doctrina del “acto aclarado” y la innecesaridad de plantear cuestión prejudicial ante el Tribunal de Justicia de la Unión Europea por existir dos sentencias de dicho Tribunal en supuestos materialmente idénticos al resuelto por el Tribunal Supremo y argumenta que las sentencias de contraste del Tribunal de Justicia, sobre la base de las cuales el Tribunal Supremo acuerda inaplicar una ley nacional por contravenir una Directiva europea, fueron dictadas en supuestos sustancialmente idénticos al enjuiciado por el Tribunal Supremo. La vulneración pretendida por el abogado del Estado no es tal desde el momento en que el Tribunal Supremo otorgó plazo a las partes en sede del recurso contencioso-administrativo núm. 960-2014 para que manifestasen lo pertinente al respecto de la sentencia del Tribunal de Justicia de la Unión Europea de fecha 7 de septiembre de 2016 (asunto C-121/15), caso Anode. Finalmente, expone detalladamente la metodología empleada para la financiación del bono social y defiende la identidad material de la misma y la que dio lugar al conflicto resuelto mediante la sentencia del Tribunal de Justicia de 7 de septiembre de 2016 en torno a la posibilidad de imponer obligaciones de servicio público y la protección de los colectivos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26 de octubre de 2018 tuvieron entrada en este Tribunal las alegaciones de Iberdrola, S.A. En primer lugar explica el contexto y los antecedentes relevantes de la controversia judicial, en particular la Directiva 2009/72/CE y las normas nacionales que regulan el bono social. Resume, después, el contenido de la sentencia impugnada y los motivos de amparo expuestos por la administración. Posteriormente, trae a colación la doctrina del Tribunal Constitucional según la cual no cabe cuestionar, con base en el art. 24.1 CE, la decisión del tribunal ordinario de no plantear la cuestión prejudicial, siempre que esa decisión sea el fruto de una exégesis racional de la legalidad ordinaria. No obstante, reconoce que existen dos matizaciones a esa doctrina, como así se señala en la STC 232/2015: cuando el tribunal nacional toma una decisión contraria a la doctrina ya establecida por la Unión Europea, lo que no concurre en el caso que nos ocupa; y en aquellos supuestos en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 No obstante, tras invocar las SSTC 212/2014, de 18 de diciembre; y 99/2015, de 25 de mayo, afirma que, desde la perspectiva del mencionado art. 24.2 CE, es suficiente con que, al órgano judicial, no se le planteen dudas sobre el alcance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la codemandada lleva a cabo una exposición sobre la argumentación dada en la STC 58/2004 acerca del alcance y finalidad de la cuestión prejudicial ante el Tribunal de Justicia de la Unión Europea que, según afirma, no consiste en aclarar la aplicación al caso concreto del Derecho de la Unión Europea, sino en concretar cuál es su interpretación y alcance, para, seguidamente, afirmar que el recurso de amparo ha perdido su objeto. Tal aserto trae causa de la entrada en vigor del Real Decreto-ley 7/2016, de 23 de diciembre, que regula el mecanismo de financiación del coste del bono social y otras medidas de protección al consumidor vulnerable de energía eléctrica, norma esta que fue promulgada tras el dictado de la sentencia recurrida en amparo. Según sostiene, en la exposición de motivos de la mencionada norma se contemplan los principios que deben regir la financiación del bono social, con el mismo alcance que se fija en la sentencia dictada por 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Siendo así, en el presente recurso no se plantea ningún debate sustantivo sobre lo dicho por el Tribunal Supremo acerca de cuál deba ser la interpretación y aplicación del derecho de la Unión, ni sobre lo que podría haber dicho de forma distinta el Tribunal de Justicia de la Unión Europea, de haberse planteado la cuestión prejudicial. De ahí que la actual controversia sea puramente formal y en cierto sentido bizantina, pues pretende que el Tribunal Supremo plantee una cuestión prejudicial para resolver una cuestión de fondo que ya no es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afirma que el recurso de amparo carece de especial trascendencia constitucional, pues la que expresamente aduce la administración recurrente no es tal. Señala que no corresponde al Tribunal Constitucional clarificar cuáles son los supuestos que han de concurrir para aplicar la doctrina del “acto claro” o del “acto aclarado”, ya que esa cuestión se anuda a la interpretación del art. 267 TFUE y de la jurisprudencia dictada en su desarrollo por el Tribunal de Justicia de la Unión Europea. Por otro lado, aunque sí corresponde al Tribunal Constitucional analizar, desde la perspectiva del art. 24 CE, la interpretación que el tribunal ordinario haga del art. 267 Tratado de funcionamiento de la Unión Europea, pone de relieve que, sobre ese aspecto, la doctrina constitucional es inequívoca y pétrea, como ha quedado expuesto. Asimismo, recuerda que, en un caso que considera idéntico, concretamente el resuelto por la STS de fecha 7 de febrero de 2012, que declaró inaplicable el sistema de financiación del bono social regulado en el Real Decreto-ley 6/2009, el Tribunal Constitucional acordó la inadmisión de la demanda de amparo interpuesta por la Abogacía del Estado, mediante providencia de 26 de septiembre de 2012, al apreciar la manifiesta inexistencia de violación de un derecho fundamental tutelable. Añade que, pese a los esfuerzos de la administración demandante por poner de relieve las diferencias entre el modelo de financiación seguido por el Real Decreto-ley 6/2009 (el coste se distribuía entre una lista de entidades cerrada e inamovible) y el establecido por el art. 45.4 LSE (sistema no definitivo ni nominal, sino contingente), lo cierto es que las diferencias que refiere la demandante no son tales, por lo que procede adoptar la misma decisión que la acordada en la providencia indicada. Además, añade que la administración carece de legitimación para recurrir, pues aunque el recurso de amparo también se encuadra formalmente en el artículo 24.2 CE, lo que realmente se invoca es un déficit de motivación que debe encontrar encaje en el artículo 24.1 CE. Y esa dimensión del derecho a la tutela judicial efectiva sin indefensión no protege a las personas jurídico-públicas cuando, como acontece en el presente, la administración actúa en el ejercicio de sus potestades jurídico-públicas.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niega que las resoluciones impugnadas hayan vulnerado el art. 24 CE. Tras detallar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ante el Tribunal de Justicia de la Unión Europea, de todo ello colige: i) que en el presente supuesto no existe una duda objetiva, clara y terminante sobre la contradicción entre el Derecho de la Unión y el Derecho Nacional, pues así lo expresa el Tribunal Supremo en su razonamiento y ii) que la decisión adoptada por ese órgano judicial es fruto de una exégesis racional de la legalidad ordinaria y no resulta ser, por tanto, manifiestamente arbitraria o injustificada. Y ello porque la referida resolución explica de manera detallada los hechos del caso y los principios y la normativa aplicable; expone la doctrina del Tribunal de Justicia de la Unión Europea que considera de aplicación en relación con los límites impuestos a las obligaciones de servicio público (asuntos Federutility y Anode) y constata que esa doctrina coincide con la interpretación del art. 3 de la Directiva 2009/72/CE, por lo que concluye con la afirmación de que el Tribunal Supremo decidió no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apoyo de la decisión adoptada por el Tribunal Supremo, considera que, entre la obligación de financiar el déficit de tarifa y financiar el bono social, existen sustanciales diferencias, principalmente porque esta última es una obligación de servicio público. También refiere que, datos tales como la formulación de un voto particular proclive al planteamiento de la cuestión prejudicial, que el dictamen en Consejo de Estado no opusiera reparos a la compatibilidad del sistema de financiación del bono social con el Derecho de la Unión o que se excluyera la imposición de costas porque la controversia suscita suficientes dudas de Derecho para considerar improcedente la condena en costas, no engendran una “duda razonable” que determine la necesidad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abril de 2019, se señaló para deliberación y votación de la presente sentencia el día 6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sentencia dictada por la Sección Tercera de la Sala de lo Contencioso-administrativo del Tribunal Supremo el día 7 de diciembre de 2017 en el recurso de casación núm. 122-2016, así como el auto de 29 de enero de 2018, de la misma Sala y Sección, que desestimó el incidente de nulidad de actuaciones promovido por la recurrente frente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la parte demandante (Administración General del Estado) no ha justificado la especial transcendencia constitucional del recurso [STC 37/2019, FJ 3 b)], de que carece de especial transcendencia constitucional [STC 37/2019, FJ 3, b)], así como la de que se ha producido la pérdida sobrevenida de objeto (STC 37/2019, FJ 2) y de falta de legitimación de la administración demandante [STC 37/2019, FJ 3 a)], y debemos dar por reproducidos los FFJJ 4 a 6. En ellos, tras exponer la doctrina constitucional sobre el planteamiento de la cuestión prejudicial y examinar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la Administración General del Estado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la Sección Tercera de la Sala de lo Contencioso-Administrativo del Tribunal Supremo de 7 de diciembre de 2017, recaída en el recurso de casación núm. 122-2016, y el auto de 29 de enero de 2018,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la sentencia, para que el indicado órgano judicial dicte nueva resolución que sea respetuosa con el derecho fundamental vulnerado, en los términos expresados en el fundamento jurídico quinto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