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20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1540-2018, interpuesto por la Administración General del Estado contra el auto de la Sección Tercera de la Sala de lo Contencioso-Administrativo del Tribunal Supremo de 1 de febrero de 2018, por el que se desestima el incidente de nulidad de actuaciones promovido contra la sentencia de 30 de noviembre de 2017, por la que, con estimación del recurso de casación núm. 3885-2015 interpuesto contra la sentencia de la Sección Cuarta de la Sala de lo Contencioso-Administrativo de la Audiencia Nacional de 21 de octubre de 2015, en el recurso núm. 182-2014, declara nula la Orden IET/350/2014, de 7 marzo, por la que se fijan los porcentajes de reparto de las cantidades a financiar relativas al bono social correspondientes a 2014.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Administración General del Estado representada por el abogado del Estado, interpuso recurso de amparo contra la sentencia y el auto referidos en el encabezamiento, mediante escrito registrado en este Tribunal el 21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6 de mayo de 2014 se interpuso recurso contencioso-administrativo contra la Orden IET/350/2014, de 7 marzo, por la que se fijan los porcentajes de reparto de las cantidades a financiar relativas al bono social correspondientes a 2014, dando lugar al procedimiento ordinario núm. 182-2014 tramitado por la Sección Cuarta de la Sala de lo Contencioso-Administrativo de la Audiencia Nacional. En la demanda se solicitaba que se declarase la ilegalidad y consiguiente anulación de la citada orden y del art. 45.4 de la Ley 24/2013, de 29 de diciembre, del sector eléctrico (LSE), por, entre otros motivos, vulneración de lo dispuesto en el art. 3 de la Directiva 2009/72 del Parlamento Europeo y del Consejo, de 13 de julio de 2009, sobre normas comunes para el mercado interior de la electricidad, por considerar que el mecanismo de financiación del bono social que se establece por las normas cuya inaplicabilidad se solicita es discriminatorio y no garantiza a las empresas eléctricas de la Unión Europea el acceso en igualdad de condiciones a los consumidores nacionales. En relación con ello se solicitaba, que, en su caso, de conformidad con lo previsto en el art. 267 del Tratado de funcionamiento de la Unión Europea (TFUE), se planteara cuestión prejudicial ante el Tribunal de Justicia de la Unión Europea. El recurso fue íntegramente desestimado por sentencia de 21 de octubre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fue recurrida en casación, dando lugar al recurso núm. 3885-2015, tramitado por la Sección Tercera de la Sala de lo Contencioso-Administrativo del Tribunal Supremo, que fue estimado por sentencia de 30 de noviembre de 2017. La sentencia declaró nula la Orden IET/350/2014, de 7 marzo, reconociendo el derecho de la sociedad recurrente a que se le reintegren las cantidades abonadas en concepto de bono social con los intereses legales correspondientes. La sentencia se remite a las sentencias de la misma Sala de 24 de octubre de 2016 (recursos contencioso-administrativos núm. 960-2014 y 981-2014), en las que se afirma que el régimen de financiación del bono social establecido en el art. 45.4 LSE, desarrollado luego en los arts. 2 y 3 del Real Decreto 968/2014, de 21 de noviembre, “no resulta compatible con la exigencia establecida en el art. 3.2 de la Directiva 2009/72/CE, donde se establece que las obligaciones de servicio público, como es el caso del bono social ‘deberán definirse claramente, ser transparentes, no discriminatorias y controlables, y garantizar a las empresas eléctricas de la Comunidad el acceso, en igualdad de condiciones, a los consumidores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Administración General del Estado promovió incidente de nulidad de actuaciones alegando la vulneración del derecho a la tutela judicial efectiva y al proceso con todas las garantías por, entre otros motivos, no haberse planteado cuestión prejudicial ante el Tribunal de Justicia de la Unión Europea. El incidente fue desestimado por auto de 1 de febrero de 2018, afirmando, en relación con la falta de planteamiento de la cuestión prejudicial, que en las sentencias antes citadas de 24 de octubre de 2016, se explicitan las causas por las que no resulta precisa su formulación.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Administración General del Estado aduce la vulneración del derecho a la tutela judicial efectiva (art. 24.1 CE) y del derecho a un proceso con todas las garantías (art. 24.2 CE), por cuanto el órgano judicial no planteó cuestión prejudicial ante el Tribunal de Justicia de la Unión Europea, pese a que ha declarado inaplicable el art. 45.4 LSE por considerarlo incompatible con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justifica la especial trascendencia constitucional del recurso por considerar que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ante el citado Tribunal,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a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esta perspectiva,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la parte demandante, lo novedoso del caso reside en que, por considerar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la demanda se refiere exclusivamente a las sentencias del Tribunal Supremo a las que se remite la impugnada.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La demanda sostiene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Anode),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de la Unión Europea traída como parámetro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afirma que la sentencia recurrida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pues ni puede imponerse con tal evidencia la similitud entre asuntos, de manera que no quepa albergar duda razonable sobre la solución de la cuestión, ni tampoco la cuestión suscitada es materialmente idéntica a otra anterior que hubiera sido objeto de una decisión prejudicial. Para la parte recurrente el Tribunal Supremo sustenta la aplicación al caso de la doctrina del “acto aclarado” en las sentencias recaídas en los asuntos Federutility y Anode, que constituyen supuestos análogos que, conforme a la “doctrina Cilfit”, justifican la inaplicación del art. 45.4 LSE. Sin embargo, respecto de la STJUE de 20 de abril de 2010 —asunto Federutility—,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administración recurrente esta cuestión no puede considerarse materialmente idéntica a la que se suscita en el presente caso, pues la supuesta discriminación que aprecia el tribunal a quo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Federutility para ser invocada como supuesto idéntico en relación con la asunción de la financiación de ciertos costes del sector eléctrico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respecto a la segunda de las sentencias traídas a colación por el Tribunal Supremo, esto es, la STJUE de 7 de septiembre de 2016 —asunto Anode— no considera aplicable su doctrina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para la demandante tampoco cabe entender que las consideraciones que se formulan en el parágrafo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también invoca algunos de los argumentos que figuran en el voto particular formulado por el magistrado disidente a la sentencia de 14 de octubre de 2016, consistentes, en síntesis, en que concurren diferencias sustanciales entre el caso resuelto por el Tribunal de Justicia de la Unión Europea y los presupuestos fácticos y jurídicos examinados en el recurso contencioso administrativo tramitado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y iii) el juez nacional ha resuelto el proceso inmiscuyéndose en un ámbito o competencia jurisdiccional ajeno, dando lugar a que la controversia sea decidida por un juez o tribunal distinto del querido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16 de julio de 2018, acordó admitir el presente recurso a trámite apreciando que concurre especial transcendencia constitucional [art. 50.1 de la Ley Orgánica del Tribunal Constitucional (LOTC)], porque plantea un problema o una faceta de un derecho fundamental sobre el que no hay doctrina de este Tribunal. [STC 155/2009, FJ 2 a)]; y, en aplicación de lo dispuesto en el art. 51 LOTC, dirigir atenta comunicación a los órganos judiciales para que remitieran certificación o fotocopia adverada de las actuaciones correspondientes, emplazando a quienes hubieran sido parte en el procedimiento, a excepción de la parte recurrente en amparo, para que en el plazo de diez días pudiesen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mediante escrito registrado el 29 de octubre de 2018, presentó sus alegaciones interesando que se estime el recurso de amparo por vulneración de los derechos a la tutela judicial efectiva y a un proceso con todas las garantías con anulación de las resoluciones impugnadas y retroacción de actuaciones para que se dicten resoluciones respetuosas con dichos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la parte recurrente, argumenta el fiscal ante el Tribunal Constitucional lo que se sintetiza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explica el mecanismo del bono social que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público,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Federutility. Ello condujo a la Sala Tercera a declarar la inaplicabilidad del régimen de financiación del bono social establecido en las normas españolas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posterior del bono social se prevé en el artículo 45.4 LSE,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Más adelante, advierte que la sentencia del Tribunal Supremo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TFUE.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Dhabi contra Italia, también pone de manifiesto, en relación con el derecho al proceso debido reconocido en el art 6.1 del Convenio europeo de derechos humanos, que los órganos judiciales nacionales deben justificar, de acuerdo con la doctrina del Tribunal de Justicia de la Unión Europea, los supuestos por los que deciden no plantear cuestión prejudicial y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sintetizar la doctrina Cilfit sobre los supuestos de dispensa del planteamiento de la cuestión prejudicial, el ministerio fiscal compendia la argumentación judicial dada a favor de omitir la cuestión prejudicial. Sobre ese particular, pone de relieve que, en el fundamento jurídico 8 de las sentencias a las que se remite la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STJUE de 20 de abril 2010 recaída en el asunto Federutility, que la referida resolución consideró como “acto aclarado”. En relación con el presente supuesto, el órgano judicial también considera que existen decisiones prejudiciales del Tribunal de Justicia de la Unión Europea en casos análogos; en concreto, la ya citada STJUE 20 de abril de 2010, dictada en al asunto Federutility, y la de 7 de septiembre de 2016, recaída en el asunto Anode.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ministerio fiscal comparte el criterio de la administración recurrente acerca de que el Tribunal Supremo no ha justificado realmente que concurra un supuesto de “acto aclarado”, pues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404 del bono social. La sentencia del caso Anode versa sobre un supuesto en el que la norma legal controvertida impone a determinadas empresas suministradoras de gas un precio regulado a clientes finales, a fin de garantizar el suministro y la cohesión territorial y por el contrario, en el caso que aquí nos ocupa el supuesto versa sobre una norma que regula el régimen de financiación por parte del sector eléctrico, de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entiende que no se ha apreciado correctamente la doctrina del “acto aclarado”, pues el objeto de la decisión prejudicial que fue resuelta por el Tribunal de Justicia de la Unión Europea (caso Anode) no puede ser considerado idéntico o análogo al actual; se trata de Directivas distintas, cuya aplicación se proyecta sobre los mercados interiores de dos productos energéticos diferentes (gas y energía); y la norma legal controvertida impone un precio regulado a determinadas suministradoras de gas, a fin de garantizar el suministro y la cohesión social (asunto Anode), mientras que en el proceso de origen del presente recurso de amparo, la cuestión discutida se refiere al régimen de financiación del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reitera que el tribunal a quo no ha apreciado correctamente la doctrina del “acto aclarado”, ya que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También incide a favor de esas dudas la existencia de un voto particular en las sentencias dictadas por la Sección Tercera de la Sala de lo Contencioso del Tribunal Supremo en las que se basa la sentencia impugnada en esta sede y el dictamen del Consejo de Estado relativo al proyecto de orden por el que se desarrolla la metodología para la fijación de los porcentajes de reparto de las cantidades a financiar respecto del bono social, que satisface los requisitos impuestos por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Administración General del Estado, mediante escrito registrado el 26 de octubre de 2018, presentó sus alegaciones ratificándose en las expuestas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16 de mayo de 2019,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sentencia dictada el día 30 de noviembre de 2017 por la Sección Tercera de la Sala de lo Contencioso-Administrativo del Tribunal Supremo, así como el auto de 1 de febrero de 2018, del mismo órgano judicial, por el que se desestima el incidente de nulidad de actuaciones promovido frente 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introducidos por las partes en el debate de este recurso son sustancialmente coincidentes con los que ya han sido abordados en la reciente STC 37/2019, de 26 de marzo, a cuyos fundamentos es preciso remitirse. En consecuencia, damos por reproducidos los fundamentos jurídicos 4 a 6 de esta sentencia. En ellos, tras exponer la doctrina constitucional sobre el planteamiento de la cuestión prejudicial y examinar el pronunciamiento de la Sala Tercera del Tribunal Supremo en el caso enjuiciado, se consideró vulnerado el derecho a un proceso con todas las garantías (art. 24.2 CE) debido a la ausencia de los presupuestos necesarios para apreciar que concurre un supuesto de “acto aclarado” que pueda eximir de la obligación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estimar el recurso de amparo por vulneración del derecho a un proceso con todas las garantías (art. 24.2 CE) y declarar la nulidad de la sentencia y del auto objeto de impugnación, retrotrayendo las actuaciones al momento anterior al de pronunciarse la primera de las resoluciones citadas, a fin de que la Sala de lo Contencioso-Administrativo del Tribunal Supremo pronuncie otra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la Administración General del Estado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la Sección Tercera de la Sala de lo Contencioso-Administrativo del Tribunal Supremo de 30 de noviembre de 2017 y el auto de 1 de febrero de 2018, pronunciados en el recurso de casación núm. 3885-2015.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la sentencia, para que el indicado órgano judicial pronuncie nueva resolución que sea respetuosa con el derecho fundamental reconocido, en los términos expresados en el fundamento jurídico único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