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20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magistrados don Juan José González Rivas, presidente,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1543-2018, interpuesto por la Administración General del Estado contra la sentencia dictada por la Sección Tercera de la Sala de lo Contencioso-Administrativo del Tribunal Supremo el 30 de noviembre de 2017 en el recurso de casación núm. 3127-2015 y contra el auto de 1 de febrero de 2018, de la misma sala y sección, que desestimó el incidente de nulidad de actuaciones promovido por la recurrente frente a dicha sentencia. Ha intervenido el ministerio fiscal. Ha comparecido la entidad mercantil Estabanell y Pahisa, S.A., representada por la procuradora de los tribunales doña Cecilia Díaz-Caneja Rodríguez y asistida por la letrada doña Irene Bartol Mir.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21 de marzo de 2018, la Administración General del Estado, representada por el abogado del Estado, interpuso recurso de amparo contra la sentencia y el auto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mercantil Estabanell y Pahisa, S.A., interpuso recurso contencioso-administrativo contra la Orden IET/350/2014, de 7 de marzo, por la que se fijan los porcentajes de reparto de las cantidades a financiar relativas al bono social correspondientes a 2014. En su demanda, la sociedad mercantil argumentó que esta orden ministerial era contraria a Derecho, pues entendía que el precepto legal del que trae causa, el art. 45.4 de la Ley 24/2013, de 26 de diciembre, del sector eléctrico (en adelante, LSE), en la redacción entonces vigente, infringía el Derecho de la Unión Europea, en particular lo dispuesto en el art. 3 de la Directiva 2009/72/CE, del Parlamento Europeo y del Consejo, de 13 de julio de 2009, sobre normas para el mercado interior de la electricidad (en adelante, Directiva 2009/72/CE). También alegaba que el art. 45.4 LSE y la Orden IET/350/2014 vulneran los arts. 9.3, 14, 39 y 41 CE. Por todo ello interesaba que se declarase la inaplicabilidad del art. 45.4 LSE y de la Orden IET/350/2014, así como la nulidad de esta y le fueran reintegradas las cantidades abonadas en concepto de bono social, con los intereses legales correspondientes. Mediante otrosí solicitó que, si lo estimaba necesario el órgano judicial, plantease cuestión prejudicial ante el Tribunal de Justicia de la Unión Europea y, en su caso, cuestión de inconstitucionalidad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contencioso-administrativo fue desestimado por sentencia de la Sección Cuarta de la Sala de lo Contencioso-Administrativo de la Audiencia Nacional de 8 de julio de 2015 (procedimiento ordinario núm. 187-2014).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dicha sentencia la entidad Estabanell y Pahisa, S.A., interpuso recurso de casación (núm. 3127-2015), que fue estimado por sentencia de la Sección Tercera de la Sala de lo Contencioso-Administrativo del Tribunal Supremo de 30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casa y anula la sentencia de instancia y estima el recurso contencioso-administrativo, en aplicación de los pronunciamientos contenidos en sus sentencias de 24 de octubre de 2016 (dos, recaídas en los recursos contencioso-administrativos núms. 960-2014 y 961-2014), 25 de octubre de 2016 (recurso núm. 16-2015) y 2 de noviembre de 2016 (recurso núm. 11-2015), a las que se remite, que declaran inaplicable el art. 45.4 LSE, del que trae causa la orden impugnada, por resultar incompatible con la Directiva 2009/72/CE, y declaran también inaplicables y nulos los arts. 2 y 3 del Real Decreto 968/2014, de 21 de noviembre, que desarrollan lo dispuesto en el citado art. 45.4 LSE. En consecuencia, la sentencia del Tribunal Supremo declara nula la Orden IET/350/2014 y reconoce el derecho de Estabanell y Pahisa, S.A., a ser indemnizada por las cantidades abonadas en concepto de bono social en aplicación de la orden anulada, de manera que se reintegren a la demandante todas las cantidades que haya abonado por ese concepto correspondientes a 2014, más los intereses legales correspondientes computados desde fecha en que se hizo el pago hasta la fecha de su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presentado el 4 de enero de 2018, la administración promovió incidente de nulidad de actuaciones contra la sentencia, en el cual denunció las siguientes vulneraciones: i) de los derechos a la tutela judicial efectiva (art. 24.1 CE) y a un proceso con todas las garantías (art. 24.2 CE), por haber sido inaplicada una norma con rango de ley sin promover cuestión de inconstitucionalidad; ii) de los mismos derechos fundamentales por no haber planteado cuestión prejudicial ante el Tribunal de Justicia de la Unión Europea y iii) del derecho a la tutela judicial efectiva por incongruencia omisiva, ya que, al entender de la administración, la sala no se pronunció sobre algunas cuestiones esenciales para enjuiciar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falta de planteamiento de la cuestión prejudicial, la administración desarrolla una extensa argumentación a fin de explicar cuáles son los requisitos del “acto aclarado” según doctrina del Tribunal de Justicia de la Unión Europea, y de exponer las razones por las que, de acuerdo a esa doctrina, considera que los supuestos que el Tribunal Supremo (por remisión a sus sentencias de 24 y 25 de octubre de 2016 y de 2 de noviembre de 2016) toma como referentes como “acto aclarado”, que le dispensa de plantear la referida cuestión prejudicial, no pueden ser tenidos en cuenta a estos efectos, dadas las disimilitudes entre dichos supuestos y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incidente fue desestimado por auto de 1 de febrero de 2018. La sala argumenta que los motivos de nulidad que se aducen en este caso coinciden con los esgrimidos por la abogacía del Estado en el incidente de nulidad que promovió en su día contra la sentencia de la misma sala de 4 de diciembre de 2017 (recurso de casación núm. 3875-2015), sobre el mismo objeto, y que fue desestimado por auto de 24 de enero de 2018, a cuyas consideraciones se remite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del que trae causa la Orden IET/350/2014, por considerarlo incompatible con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destacar los aspectos más relevantes del procedimiento judicial y señalar que el presente recurso de amparo mantiene su objeto pese a la derogación expresa del precepto legal en el que fundaba su posición la administración, esta justifica la especial trascendencia constitucional del recurso en los términos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se afirma en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el abogado del Estado que lo que debe resolverse en este proceso constitucional no atañe al eventual acierto del Tribunal Supremo al resolver el litigio, sino a delimitar el margen de interpretación del que disponen los órganos judiciales para inaplicar una norma interna con rango de ley, por considerarla contraria al Derecho europeo, sin plantear previamente cuestión prejudicial ante el Tribunal de Justicia de la Unión Europea. Lo novedoso del caso reside en que, por considerar aplicable al presente supuesto la doctrina del “acto aclarado”, la sentencia impugnada ha inaplicado una norma con rango de ley, de manera que el Tribunal Supremo se ha convertido en “legislador negativo”, de modo que sus facultades de valoración resultan sumamente trascendentes desde la perspectiva del derecho garantizado por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vulneraciones constitucionales alegadas, en primer lugar sintetiza las razones dadas por el Tribunal Supremo (en las sentencias de 24 y 25 de octubre de 2016 y de 2 de noviembre de 2016, a las que se remite la sentencia impugnada en amparo)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cuestión prejudicial es apodíctica y, por tanto, incurre en manifiesta falta de motivación, lesiva del derecho a la tutela judicial efectiva y ello porque el Tribunal Supremo considera que los criterios de la sentencia del Tribunal de Justicia de la Unión Europea de 7 de septiembre de 2016 (asunto Anode) son trasladables al caso ahora examinado, pero no dice por qué razón ni cuáles son esos criterios que resultan aplicables al presente caso, por lo que no se acierta a ver cuál es la semejanza con los considerandos de la sentencia del Tribunal de Justicia de la Unión Europea traída como parámetro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sentencia impugnada (por remisión a las sentencias de 24 y 25 de octubre de 2016 y de 2 de noviembre de 2016) aplica la doctrina del “acto aclarado” para justificar la falta de planteamiento de la cuestión prejudicial, pero lo hace siguiendo un criterio erróneo, pues no concurren las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El Tribunal Supremo sustenta la aplicación al caso de la doctrina del “acto aclarado” en las sentencias del Tribunal de Justicia de la Unión Europea recaídas en los asuntos Federutility y Anode, que, según su criterio, constituyen supuestos análogos que, conforme a la “doctrina Cilfit”, justifican la inaplicación del art. 45.4 LSE. Sin embargo, respecto de la sentencia de 20 de abril de 2010, asunto Federutility, estima el abogado del Estado que la discriminación a la que se refieren sus §§ 45 y 46 nada tiene que ver con el trato peyorativo apuntado por la empresa demandante en el proceso a quo, pues la supuesta discriminación que aprecia el Tribunal Supremo no trae causa de la indiferenciación (como en la sentencia del Tribunal de Justicia de la Unión Europea en el asunto Federutility),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en la demanda la segunda de las sentencias traídas a colación por el Tribunal Supremo, esto es, la sentencia del Tribunal de Justicia de la Unión Europea de 7 de septiembre de 2016 (asunto Anode)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tampoco cabe entender que las consideraciones que se formulan en el § 71 de la sentencia recaída en el asunto Anode,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eléctrico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la administración recurrente la sentencia impugnada en amparo ha vulnerado los derechos garantizados por el art. 24 CE porque: i) el Tribunal Supremo ha desconocido el sistema de fuentes, al inaplicar una norma con rango de ley sin plantear previamente cuestión prejudicial ante el Tribunal de Justicia de la Unión Europea; ii) incurre en un déficit de motivación, ya que no explica suficientemente las razones por las que considera que concurre la circunstancia del “acto aclarado”, como razón que le excusa de aplicar la ley española sin plantear la cuestión prejudicial y iii) ha resuelto el proceso inmiscuyéndose en un ámbito o competencia jurisdiccional ajeno, dando lugar a que la controversia sea decidida por un juez o tribunal distinto del querido por el legislador. En consecuencia solicita que se declare nula la sentencia, así como el auto que desestima el incidente de nulidad de actuaciones y que se ordene retrotraer las actuaciones al momento inmediato anterior al pronunciamiento de la sentencia, para que el Tribunal Supremo plantee la cuestión prejudicial de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2018, la Sección Segunda de este Tribunal acordó admitir el presente recurso a trámite apreciando que concurre especial transcendencia constitucional (art. 50.1 de la Ley Orgánica del Tribunal Constitucional: LOTC), porque plantea un problema o una faceta de un derecho fundamental sobre el que no hay doctrina de este Tribunal [STC 155/2009, FJ 2 a)]. Acordó también, en aplicación de lo dispuesto en el art. 51 LOTC, dirigir atenta comunicación a la Sección Tercera de la Sala de lo Contencioso-Administrativo del Tribunal Supremo, a fin de que, en plazo que no excediera de diez días, remitiera certificación o fotocopia adverada de las actuaciones correspondientes al recurso de casación núm. 3127-2015; así como a la Sección Cuarta de la Sala de lo Contencioso-Administrativo de la Audiencia Nacional, para que en el mismo plazo, remitiese certificación o fotocopia adverada de las actuaciones correspondientes al procedimiento ordinario núm. 187-2014, y emplazase a quienes hubieran sido parte en el mismo, para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14 de septiembre de 2018, la procuradora de los tribunales doña Cecilia Díaz-Caneja Rodríguez, en representación de Estabanell y Pahisa, S.A., interesó que se la tuviera por personada y parte en el presente recurso de amparo. Con fecha 19 de septiembre de 2018 presentó nuevo escrito en el que manifiesta que la asistencia letrada corresponde a la abogada doña Irene Bartol 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27 de septiembre de 2018, la secretaría de justicia de la Sala Primera tuvo por personadas y partes en el presente recurso de amparo a la referida sociedad mercantil, representada y asistida por los profesionales indicados. Asimismo, de conformidad con lo dispuesto en el art. 52.1 LOTC,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Estabanell y Pahisa, S.A., presentó su escrito de alegaciones el 31 de octubre de 2018, en el que interesa la inadmisión del recurso de amparo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 en primer lugar, como óbice a la admisibilidad del recurso, la insuficiente justificación de la especial trascendencia constitucional del mismo, pues la administración se limita a reiterar los argumentos sobre la pretendida lesión de derechos garantizados por el art. 24 CE. Además, no es cierto que no exista doctrina constitucional acerca de los supuestos de exoneración del planteamiento de la cuestión prejudicial ante el Tribunal de Justicia de la Unión Europea, pues el Tribunal Constitucional ya ha tenido ocasión de pronunciarse al respecto (en SSTC 78/2010, de 20 de octubre, 145/2012, de 2 de julio, y 232/2015, de 5 de noviembre, entre otras). Conforme a esa doctrina, a la que se acoge el Tribunal Supremo, los jueces nacionales, al enfrentarse con una norma interna incompatible con el Derecho de la Unión Europea, tienen la obligación de inaplicar la disposición nacional, con independencia del rango de esta, en virtud del principio de primacía del Derecho europeo. Esa inaplicación de la norma nacional se producirá sin necesidad de plantear cuestión prejudicial, conforme a la doctrina del Tribunal de Justicia de la Unión Europea cuando la correcta aplicación de la norma europea pueda imponerse con tal evidencia que no deje lugar a ninguna duda razonable sobre la solución de la cuestión, o cuando la cuestión suscitada fuese materialmente idéntica a otra que haya sido objeto de una decisión prejudicial en un caso análogo (doctrina del “acto claro” y del “acto aclarado”).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alega que la sentencia impugnada no ha vulnerado ningún derecho reconocido en el art. 24 CE. A este respecto, sostiene que el Tribunal Supremo resolvió el litigio de manera suficientemente motivada y razonable, sustentando su decisión de inaplicar directamente el art. 45.4 LSE (del que es desarrollo la Orden IET/350/2014), por resultar incompatible con el art. 3.2 de la Directiva 2009/72/CE, sin plantear la cuestión prejudicial, en la doctrina del “acto aclarado”, a la vista de la jurisprudencia sentada por el Tribunal de Justicia de la Unión Europea en los asuntos Federutility y Anode (sentencias de 20 de abril de 2010 y de 7 de septiembre de 2016), y con estricto acatamiento de la doctrina constitucional. Todo ello permite concluir que la decisión adoptada por el Tribunal Supremo de inaplicar la norma interna sin plantear cuestión prejudicial es fruto de una exégesis racional de la legalidad ordinaria, que excluye, por tanto, la pretendida vulneración de los derechos que alega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mediante escrito registrado en este Tribunal el 7 de noviembre de 2018. Tras referirse a los antecedentes del caso, señala que el presente recurso de amparo es similar a otros sobre el mismo asunto interpuestos por la Administración General del Estado, en relación con el régimen de financiación del bono social eléctrico, contra sentencias de la Sala de lo Contencioso-Administrativo del Tribunal Supremo que declaran inaplicable el art. 45.4 LSE (así como la normativa reglamentaria que lo desarrolla), por considerarlo incompatible con el art. 3.2 de la Directiva 2009/72/CE, sin plantear cuestión prejudicial ante el Tribunal de Justicia de la Unión Europea. La administración aduce en todos los casos la vulneración de los derechos a la tutela judicial efectiva sin indefensión (art. 24.1 CE) y a un proceso con todas las garantías (art. 24.2 CE). Reproduce por ello el ministerio fiscal las alegaciones formulados en esos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señala que no puede negársele a la administración legitimación para recurrir en amparo, desde la perspectiva de las garantías procesales inherentes a los derechos del art. 24 CE, que le son reconocidas a la administración como parte en los procesos judiciales (STC 58/2004, de 19 de abril, FJ 5). Descarta asimismo que la derogación expresa del precepto legal en el que fundaba su posición la administración haga perder su objeto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también los antecedentes legislativos y la finalidad del bono social, que opera como una medida de protección de los consumidores de energía vulnerables y responde a las previsiones del art. 3.7 de la Directiva 2009/72/CE. El régimen de financiación del bono social en la legislación precedente (Real Decreto-ley 6/2009) fue enjuiciado en la sentencia de la Sala de lo Contencioso-Administrativo del Tribunal Supremo de 7 de febrero de 2012, que consideró que ese régimen de financiación no cumplía las exigencias de transparencia, no discriminación, control y proporcionalidad exigidas por la Directiva 2003/54/CE (luego reemplazada por la citada directiva 2009/72/CE). Por ello, el Tribunal Supremo resolvió la inaplicación de las disposiciones pertinentes de aquella regulación sin plantear cuestión prejudicial ante el Tribunal de Justicia de la Unión Europea, por considerar que el sentido de la directiva ya había sido aclarado en la sentencia de dicho tribunal de 20 de abril de 2010, dictada en el asunto Federutility.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referida sentencia del Tribunal Supremo de 7 de febrero de 2012 se procedió a regular de nuevo el bono social eléctrico por el art. 8 del Real Decreto-ley 9/2013, precedente inmediato del art. 45.4 LSE (Ley 24/2013), que la sentencia impugnada en el presente recurso de amparo inaplica. Esta disposición (más tarde modificada por el Real Decreto-ley 7/2016) se correspondía con las previsiones del Real Decreto-ley 6/2009, pues establecía que el bono social fuera asumido por las matrices de los grupos de sociedades o, en su caso, por las sociedades que desarrollasen simultáneamente las actividades de producción, distribución y comercialización de energía eléctrica. El régimen de financiación del bono social previsto por el art. 45.4 LSE y desarrollado por el Real Decreto 968/2014, así como por la Orden IET/350/2014, que fija los porcentajes de reparto de las cantidades a financiar correspondientes a 2014, es declarado inaplicable por la sentencia impugnada en amparo, al estimar el Tribunal Supremo que se opone a lo establecido en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la sentencia impugnada vulnera los derechos de la administración a la tutela judicial efectiva sin indefensión y a un proceso con todas las garantías, por inaplicar el art. 45.4 LSE (que la Orden IET/350/2014 desarrolla) sin plantear previamente la cuestión prejudicial ante el Tribunal de Justicia de la Unión Europea, es necesario examinar las razones en las que el Tribunal Supremo fundamenta esa decisión, por remisión a sus anteriores pronunciamientos, contenidos en sus sentencias de 24 de octubre de 2016 (dos), 25 de octubre de 2016 y 2 de noviembre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con lo preceptuado en el art. 267 Tratado de funcionamiento de la Unión Europea. Ahora bien, esto no significa que las decisiones judiciales sobre ese particular estén exentas de cualquier control de constitucionalidad, sino que, por el contrario, están sujetas al canon de control propio de cualquier resolución judicial. Además, debe tenerse en cuenta el especial control de constitucionalidad que procede efectuar respecto de aquellas resoluciones judiciales que no aplican una norma legal interna, por su apreciada contradicción con el Derecho de la Unión Europea. Afirma que en estos casos —y no en los que el órgano judicial aplica la norma interna sin plantear cuestión prejudicial ante el Tribunal de Justicia de la Unión Europea, por estimarla conforme con el Derecho de la Unión Europea (STC 27/2013)— se pueden lesionar los derechos a la tutela judicial efectiva y a un proceso con todas las garantías, siempre que exista una duda objetiva, clara y terminante sobre esa supuesta contradicción (SSTC 58/2004, FFJJ 9 a 14, y 232/2015, FJ 5). Para enjuiciar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FJ 2). En la misma línea el Tribunal Europeo de Derechos Humanos, en su sentencia de 8 de abril de 2014, caso Dhabi contra Italia, también pone de manifiesto, en relación con el derecho al proceso debido (art 6.1 del Convenio Europeo de Derechos Humanos), que los órganos judiciales nacionales deben justificar, de acuerdo con la doctrina del Tribunal de Justicia de la Unión Europea, las razones por las que deciden no plantear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 doctrina sentada por el Tribunal de Justicia de la Unión Europea en la sentencia del asunto Cilfit sobre los supuestos de dispensa del planteamiento de la cuestión prejudicial, el fiscal examina los razonamientos de la sentencia impugnada (por remisión a las precedentes citadas) para no plantear la cuestión prejudicial. Sobre este particular pone de relieve que, en el fundamento jurídico 8 de las sentencias a las que se remite la impugnada, se afirma que en la de 7 de febrero de 2012 el Tribunal Supremo resolvió que no era necesario plantear la cuestión respecto de la correcta aplicación del art. 3.2 de la Directiva 2003/54/CE porque ya existía una decisión prejudicial al respecto, concretamente la sentencia de 20 de abril 2010, recaída en el asunto Federutility, que aquella resolución consideró como “acto aclarado”. En relación con el presente supuesto, el Tribunal Supremo también considera que existen decisiones prejudiciales del Tribunal de Justicia de la Unión Europea en casos análogos; en concreto, la ya citada sentencia de 20 de abril de 2010 (asunto Federutility) y la de 7 de septiembre de 2016, recaída en el asunto Anode. En relación con esta última, el Tribunal Supremo aprecia que las consideraciones que en ella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eléctrico que establece el art. 45.4 LSE; con fundamento en ello entiende que este precepto es contrario a lo dispuesto en el art. 3.2 de la Directiva 2009/72/CE, pues no cumple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como la administración recurrente, que el Tribunal Supremo no ha justificado realmente que concurra un supuesto de “acto aclarado”. Se ha limitado a expresar una declaración de voluntad, que es la de estimar que la decisiones del Tribunal de Justicia de la Unión Europea en esas sentencias son plenamente trasladables a la controversia suscitada sobre la nueva regulación del régimen de financiación del bono social, pero no ofrece ninguna explicación sobre cuáles son los criterios que le permiten considerar que pueden ser aplicables, para resolver esa controversia, unas decisiones prejudiciales del Tribunal de Justicia de la Unión Europea que se pronuncian sobre la interpretación de las directivas relativas al mercado del gas —y no sobre las del mercado de la electricidad— y además se refieren a otro tipo de obligaciones de servicio público distintas del bono social. Añade que la sentencia del caso Anode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fiscal entiende que el Tribunal Supremo no ha apreciado correctamente la doctrina del “acto aclarado”, pues el objeto de la decisión prejudicial que fue resuelta por el Tribunal de Justicia de la Unión Europea (caso Anode) no puede ser considerado idéntico o análogo al actual. Se trata de directivas distintas, cuya aplicación se proyecta sobre los mercados interiores de dos productos energéticos diferentes (gas y electricidad). Además, la norma allí considerada por el Tribunal de Justicia de la Unión Europea imponía un precio regulado a determinadas suministradoras de gas, a fin de garantizar el suministro y la cohesión social, mientras que en el proceso del que trae causa el presente recurso de amparo la norma controvertida se refiere al régimen de financiación del bono social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sentencia del Tribunal de Justicia de la Unión Europea en que se basa el Tribunal Supremo para entender que puede inaplicar la ley interna sin plantear cuestión prejudicial, no puede considerarse como una decisión prejudicial materialmente idéntica en un asunto análogo, que permita conocer de manera evidente y sin ninguna duda objetiva razonable cuál es la correcta aplicación de la norma europea en el caso controvertido. Por el contrario, que existen esas dudas lo corroboran el voto particular a la sentencias a las que se remite la impugnada y el dictamen del Consejo de Estado relativo al proyecto de orden por el que se desarrolla la metodología para la fijación de los porcentajes de reparto de las cantidades a financiar respecto del bono social, en el que se sostiene que ese régimen de financiación satisface los requisitos impuestos por la normativa europea. No procede pues apreciar que concurre un supuesto de “acto aclarado”. Además, los supuestos de dispensa del planteamiento de la cuestión prejudicial deben ser objeto de interpretación estricta, tal y como pone de relieve la sentencia del caso Cilfit.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ministerio fiscal estima vulnerados los derechos de la Administración a la tutela judicial efectiva sin indefensión y a un proceso con todas las garantías (art. 24.1 y 2 CE), pues la Sala de lo Contencioso-Administrativo del Tribunal Supremo ha incurrido en un exceso de jurisdicción, al pronunciarse sobre la incompatibilidad de la norma legal con el Derecho europeo al margen del proceso debido, vulnerando el sistema de fuentes, al inaplicar directamente la norma legal vigente y eludir el mecanismo de control correspondiente. Por ello interesa que se estime el recurso de amparo, declarando la nulidad de las resoluciones judiciales impugnadas y ordenando la retroacción de actuaciones, al objeto de que la Sala de lo Contencioso-Administrativo del Tribunal Supremo dicte nueva sentencia que sea respetuosa con los derechos fundamentales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16 de mayo de 2019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planteamientos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sentencia dictada el 30 de noviembre de 2017 por la Sección Tercera de la Sala de lo Contencioso-Administrativo del Tribunal Supremo en el recurso de casación núm. 3127-2015, así como el auto de 1 de febrero de 2018, por el que se desestima el incidente de nulidad de actuaciones. Para la administración demandante, que actúa representada por el abogado del Estado, se han vulnerado los derechos a la tutela judicial efectiva sin indefensión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el Tribunal Supremo ha inaplicado el art. 45.4 de la Ley del sector eléctrico (LSE) entonces en vigor, que establecería el régimen de financiación del bono social eléctrico, desarrollado por la Orden IET/350/2014, de 7 de marzo, por la que se fijan los porcentajes de reparto de las cantidades a financiar relativas al bono social correspondientes a 2014, al considerar que es incompatible con el art. 3.2 de la Directiva 2009/72/CE. Ha adoptado esa decisión sin plantear previamente cuestión prejudicial ante el Tribunal de Justicia de la Unión Europea, ofreciendo una motivación (por remisión a anteriores sentencias de la propia sala) manifiestamente insuficiente para justificar ese proceder, pues entiende que resulta aplicable la doctrina sobre el “acto aclarado”, con fundamento en las sentencias recaídas en los asuntos Federutility y Anode, pero no dice cuáles son las razones por los que cabe apreciarla. Además, ha aplicado inadecuadamente la doctrina del Tribunal de Justicia de la Unión Europea sobre el “acto aclarado”, que permite preterir una norma estatal por incompatibilidad con el Derecho de la Unión Europea sin plantear cuestión prejudicial. Esa errónea apreciación se produce porque no hay identidad material, ni tampoco analogía, entre los casos resueltos por el Tribunal de Justicia de la Unión Europea y el que se enjuicia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Estabanell y Pahisa, S.A., ha solicitado la inadmisión del recurso de amparo por entender que la administración no ha justificado suficientemente la especial transcendencia constitucional. De modo subsidiario, solicita la desestimación del recurso por considerar que la sentencia del Tribunal Supremo no ha vulnerado los derechos de la administración a la tutela judicial efectiva y al proceso con todas las garantías. Todo ello de conformidad con los argumentos que se exponen de modo detallado en los antecedentes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 sustento en los razonamientos que asimismo han quedado relatados en los antecedentes, interesa la estimación del recurso de amparo, al considerar que se han vulnerado los derechos fundamentales de la Administración demandante a la tutela judicial efectiva sin indefensión y al proceso debido (art. 24.1 y 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Coincidencia del objeto del presente recurso con el resuelto en la STC 37/2019, de 26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procesales y sustantivos de las partes son coincidentes con los que ya han sido abordados en nuestra reciente STC 37/2019, de 26 de marzo (publicada en el “Boletín Oficial del Estado” núm. 99, de 25 de abril).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ahora impugnada ha sido dictada por el mismo órgano judicial (Sección Tercera de la Sala de lo Contencioso-Administrativo del Tribunal Supremo) y también declara (a instancia de una compañía eléctrica distinta) la inaplicación, por contradicción con lo dispuesto en el art. 3.2 de la Directiva 2009/72/CE, del Parlamento europeo y del Consejo de Europa, del art. 45.4 LSE, utilizando, para llegar a esa conclusión, la doctrina del “acto aclarado”, en relación con las sentencias del Tribunal de Justicia de la Unión Europea de 20 de abril de 2010 (asunto C-265/208, Federutility) y de 7 de septiembre de 2016 (asunto C-121/15, Anode).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argumentación de la sentencia ahora impugnada reproduce, además, la contenida en la sentencia de 24 de octubre de 2016, del mismo órgano judicial, a la que se remite, que fue objeto de análisis en la citada STC 37/2019.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pues ante la misma argumentación que ya examinamos en la STC 37/2019 sobre la incompatibilidad del régimen jurídico de financiación del bono social con lo dispuesto en el art. 3.2 de la Directiva 2009/72/CE, en relación con las obligaciones de servicio público, y sobre la improcedencia del planteamiento de la cuestión prejudicial ante el Tribunal de Justicia de la Unión Europea, con fundamento en la doctrina del “acto aclarado”.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de amparo presentada por la Administración General del Estado en el presente recurso se corresponde íntegramente con la que formuló en el recurso de amparo estimado por la citada STC 37/2019. No se hace ninguna alegación distinta a las planteadas en aquel recurso, que fueron examinadas por este Tribunal en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las alegaciones formuladas por la entidad mercantil personada en el presente recurso de amparo también reproduce sustancialmente las que fueron realizadas en el recurso resuelto por la STC 37/2019.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abordar las diversas cuestiones procesales y sustantivas suscitadas en el presente recurso de amparo con remisión expresa a lo razonado en la STC 37/2019.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Cuestiones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alegaciones de índole procesal realizadas por la entidad Estabanell y Pahisa, S.A., que podrían impedir la adopción de un pronunciamiento de fondo, hemos de señalar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explicamos en la STC 37/2019, FJ 3.b), “para la administración demandante la especial trascendencia constitucional del presente recurso reside en la oportunidad que brinda a este Tribunal de fijar el canon de control respecto del ejercicio, por parte de los órganos judiciales, de la facultad de inaplicar una ley interna por su eventual contradicción con la normativa de la Unión Europea, sin plantear previamente cuestión prejudicial. […] Lo que en esencia pone de relieve la administración es la novedad del supuesto, ya que este Tribunal no ha tenido ocasión de pronunciarse específicamente sobre el control que le corresponde ejercer, desde la perspectiva del art. 24 CE, en un caso en que la inaplicación de una norma interna con rango de ley, por su contrariedad al Derecho de la Unión Europea, deriva de la aplicación de la doctrina sobre el ‘acto aclarado’. A la vista de lo expuesto, no cabe apreciar la objeción que plantean las codemandadas. La administración ha cumplimentado adecuadamente el gravamen de justificar la especial transcendencia constitucional, ofreciendo al respecto una argumentación disociada de aquella que ofrece para explicar las lesiones que denuncia. Además, esa justificación se anuda a una temática que no es ajena al cometido de este Tribunal […]. Por otro lado, tal y como figura en el tenor de la providencia en cuya virtud acordamos su admisión a trámite, este recurso plantea un problema o faceta de un derecho fundamental sobre el que no hay doctrina de este Tribunal [STC 155/2009, FJ 2 a)], en la medida, añadimos ahora, en que permite que este Tribunal pueda perfilar el canon constitucional del control de las decisiones judiciales que, no siendo susceptibles de ulterior recurso ordinario según el Derecho interno, dejan de aplicar una ley nacional por entender que es incompatible con el Derecho de la Unión Europea, sin plantear previamente cuestión prejudicial ante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descartarse el óbice de insuficiente justificación de la especial transcendencia constitucional del recurso que esgrime la entidad Estabanell y Pahisa,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dar por reproducidos los razonamientos contenidos en nuestra STC 37/2019, FJ 4, en relación con el planteamiento de la cuestión prejudicial, concluyendo, como entonces, que nuestra doctrina puede expresarse, de manera resumida,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Resulta contrario al derecho a un proceso con todas las garantías (art. 24.2 CE) dejar de aplicar una norma interna (tenga esta o no rango de ley) sin plantear cuestión prejudicial ante el Tribunal de Justicia de la Unión Europea, cuando exista una “duda objetiva, clara y terminante” sobre esa supuesta contradicción [SSTC 58/2004, FFJJ 9 a 14; 232/2015, FJ 5.a)]. Tal duda objetiva puede derivar: (i) del hecho de existir un criterio generalizado de los tribunales españoles acerca de la compatibilidad entre ambas normas, que el órgano judicial no desvirtúa mediante una motivación específica en la resolución impugnada en amparo; (ii) o de que, pese a haberse dictado una o más resoluciones por el Tribunal de Justicia de la Unión Europea referentes a dicha norma nacional, ninguna se ha pronunciado directamente sobre las cuestiones que ahora se suscitan; (iii) o bien de la conjunción de ambas circunstancias (STC 58/2004, FFJJ 13 y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Resulta igualmente contrario al derecho a un proceso con todas las garantías (art. 24.2 CE), por alteración del sistema de fuentes, la inaplicación de una norma interna sin plantear cuestión prejudicial cuando se fundamente esa decisión en la doctrina del “acto aclarado”, en los casos en que tal doctrina no pueda ser invocada. Es decir, cuando no sea posible afirmar que “la cuestión planteada es materialmente idéntica a una que ya fue objeto anteriormente de una decisión con carácter prejudicial en un asunto análogo” (sentencia del Tribunal de Justicia de la Unión Europea de 6 de octubre de 1982, asunto 283/81, Cilfit, apartado 13) como, por ejemplo, se examinó en la ya citada STC 194/2006, de 19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el contrario,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[STC 232/2015, FJ 5.b), con cita de las anteriores SSTC 27/2013, de 11 de febrero, FJ 7; 212/2014, de 18 de diciembre, FJ 3, y 99/2015, de 25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Asimismo, cumpliéndose con los requisitos de la doctrina del “acto aclarado”, también hemos dicho que “corresponde a este Tribunal velar por el respeto del principio de primacía del Derecho de la Unión Europea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 [STC 232/2015, FJ 5 c), con cita de la anterior STC 145/2012, de 2 de julio, FFJJ 5 y 6. En igual sentido, SSTC 148/2016, de 19 de septiembre, FJ 5.b); 162/2016, de 3 de octubre, FJ 2; y 75/2017,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de remitirnos in toto al análisis efectuado en el fundamento jurídico 5 de nuestra STC 37/2019, en relación con la normativa interna (art. 45.4 LSE) y de la Unión Europea (art. 3.2 de la Directiva 2009/72/CE) que la Sala Tercera del Tribunal Supremo ha tenido en cuenta para dirimir el litigio, así como acerca de la doctrina sobre “el acto aclarado” elaborada por el Tribunal de Justicia de la Unión Europea (sentencia de 6 de octubre de 1982, asunto 238/1981, Cilfit).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en los fundamentos jurídicos anteriores, debe ser estimada la queja relativa a la alegada vulneración del derecho a un proceso con todas las garantías (art. 24.2 CE), en cuanto a la decisión del Tribunal Supremo de inaplicar la normativa nacional sin necesidad de plantear cuestión prejudicial ante el Tribunal de Justicia de la Unión Europea, en consideración a lo ya apreciado en nuestra STC 37/2019, FJ 6.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fundamentación jurídica de la sentencia impugnada debería haber incluido una explicación sobre los concretos motivos por los que se considera que concurre el referido “acto aclarado”. Al no haberse argumentado en el sentido expuesto, cabe afirmar que el Tribunal Supremo no ha justificado, desde la perspectiva propia del “acto aclarado” que se configura en la sentencia Cilfit, por qué se debe considerar que el presente caso es análogo a los asuntos Federutility y Anode; cuáles son las circunstancias que permiten entender que la cuestión que ahora se suscita es sustancialmente idéntica a la que se planteó en los asuntos antes indicados; o cuál es la concreta doctrina fijada por el Tribunal de Justicia de la Unión Europea que, en relación con la presente controversia, sustenta el “acto aclarado” que el Tribunal Supremo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en el presente caso concurren los presupuestos necesarios para apreciar que la doctrina emanada de las referidas sentencias del Tribunal de Justicia de la Unión Europea constituye un “acto aclarado” respecto del problema interpretativo suscitado y, por tanto, el Tribunal Supremo no estaba dispensado de plantear cuestión prejudicial, pues “aunque el precepto interpretado por el TJUE tuviera el mismo contenido tanto en la directiva del sector eléctrico como en la relativa al sector del gas, no se trataba de las mismas directivas, ni del mismo sector ni los problemas abordados, respectivamente, por las sentencias Federutility y Anode y por la sentencia impugnada son exactamente iguales. Por ello, no puede concluirse que, mediante las referidas sentencias, el Tribunal de Justicia de la Unión Europea hubiera aclarado una cuestión idéntica y suscitada en un caso análogo al enjuiciado por el Tribunal Supremo, que son los requisitos fijados por el Tribunal de Justicia de la Unión Europea para apreciar la concurrencia del ‘acto aclarado’ y enervar la obligación que tienen los tribunales nacionales de plantear cuestión prejudicial” (STC 37/2019,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pues, reconocer la vulneración del derecho de la administración recurrente a un proceso con todas las garantías (art. 24.2 CE), toda vez que el Tribunal Supremo ha inaplicado la normativa nacional por considerarla incompatible con el art. 3.2 de la Directiva 2009/72/CE, sin haber recabado previamente un pronunciamiento prejudicial del Tribunal de Justicia de la Unión Europea. Ello ha dado lugar a una preterición del sistema de fuentes y a la vulneración del derecho fundamental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Apreciada la vulneración indicada, la lesión del derecho a la tutela judicial sin indefensión, por la insuficiente motivación acerca de las razones por las que se aprecia la concurrencia del “acto aclarado”, carece de virtualidad como queja autónoma, al haberse declarado ya, según lo expuesto, que el Tribunal Supremo no quedaba exonerado de plantear la cuestión prejudicial ante el Tribunal de Justicia de la Unión Europea. Por todo ello, procede estimar el recurso de amparo, por vulneración del derecho de la administración demandante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otorgamiento del amparo debe comportar, conforme a lo dispuesto en el art. 55.1 LOTC, el reconocimiento del derecho fundamental vulnerado y la declaración de nulidad de la sentencia y del auto objeto de impugnación, con retroacción de actuaciones al momento anterior a dictarse la primera de las resoluciones, a fin de que la Sala de lo Contencioso-Administrativo del Tribunal Supremo dicte otra resolución respetuosa con el derecho fundamental conculcado.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Administración General del Estado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demandante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 la sentencia de 30 de noviembre de 2017, de la Sección Tercera de la Sala de lo Contencioso-Administrativo del Tribunal Supremo, en el recurso de casación núm. 3127-2015, y del auto de 1 de febrero de 2018, de la misma sala y sección, por el que se desestimó el incidente de nulidad de actuaciones promovido frente a la referida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sentencia, para que el indicado órgano judicial dicte nueva resolución respetuosa con el derecho fundamental vulnerado, en los términos expresados en el fundamento jurídico quinto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en relación con la sentencia de la Sala Primera de 20 de mayo de 2019 dictada en el recurso de amparo núm. 1543-2018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el recurso de amparo núm. 1543-2018.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las mismas que se contienen en el voto particular que formulé a la STC 37/2019, de 26 de marzo, mostrando mi parecer opuesto a la legitimación de la Administración General del Estado para solicitar en amparo la protección de sus derechos fundamentales. Para evitar reiteraciones innecesarias, me remito a lo razonado en aquella ocasión.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mayo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