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3 de junio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1926-2018, promovido por don Stephan Rudolf Werner, don Arnaud Ronnet y don Fernando Gastón Cerega, representados por la procuradora de los tribunales doña Miriam Rodríguez Crespo y bajo la dirección de la letrada doña Amina Omar Nieto, contra la sentencia de la Sección Segunda de la Audiencia Provincial de Santa Cruz de Tenerife núm. 389/2017, de 15 de septiembre, que les condenó como coautores de un delito contra la salud pública al estimar parcialmente el recurso de apelación interpuesto por el ministerio fiscal contra la sentencia del Juzgado de lo Penal núm. 5 de Santa Cruz de Tenerife núm. 240/2017, de 12 de junio, que les absolvió, y contra la providencia de la Sección Segunda de la Audiencia Provincial de Santa Cruz de Tenerife de 22 de febrero de 2018 que inadmitió a trámite el incidente de nulidad de actuaciones promovido contra la sentencia de la misma sección.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abril de 2018, la procuradora de los tribunales doña Miriam Rodríguez Crespo, en nombre y representación de don Stephan Rudolf Werner, don Arnaud Ronnet y don Fernando Gastón Cerega, interpuso recurso de amparo contra las resoluciones citadas en el encabezamiento, al considerar que habían vulnerado su derecho a la libertad (art. 17.1 CE), su derecho de asociación (art. 22 CE), su derecho de defensa (art. 24.2 CE) y su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formuló acusación contra los tres demandantes de amparo y otras cinco personas en el procedimiento abreviado núm. 3582-2013 seguido en el Juzgado de Instrucción núm. 2 de Arona, por considerarles autores de un delito contra la salud pública, en su modalidad de tráfico de drogas de las que no causan grave daño a la salud, en cantidad de notoria importancia, de los arts. 368 y 369.5 del Código penal, concurriendo error vencible de prohibición del art. 14.3 del Código penal, y solicitó la imposición a cada uno de ellos de una pena de prisión de dos años y multa de 83.682 € con responsabilidad personal subsidiaria de un día de privación de libertad por cada cuota de cien euros o fracción impagada, así como el comiso de la sustancia estupefaciente, dinero y demás efectos incautados.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Celebrado juicio oral en el Juzgado de lo Penal núm. 5 de Santa Cruz de Tenerife, este dictó la sentencia núm. 240/2017, de 12 de junio, por la que absolvió a todos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probado que don Stephan Rudolf Werner y don Arnaud Ronnet constituyeron el día 5 de junio de 2011 la asociación “Club Social de Consumidores de Cannabis TFS”, que llegó a tener 872 socios, de la que era presidente el primero, y secretario el segundo, siendo don Fernando Gascón Cerega su vicepresidente. Los restantes acusados eran al tiempo que socios asalariados de la asociación que se dedicaban al cultivo de las plantas.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estatutos se establecía que “la asociación dispondrá de un consumo compartido, sin ánimo de lucro y en circuito cerrado de usuarios que impide el acceso a terceras personas, no siendo objeto de este cultivo la promoción, el favorecimiento y la facilitación del consumo ilegal de cannabis siendo referente la sentencia del Tribunal Supremo de 12 de diciembre de 1990 y de 17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dedicaba al cultivo de cannabis cuatro fincas ubicadas en la zona sur de Tenerife en las que la Guardia Civil incautó entre los meses de junio y agosto del año 2013 un total de 1.068 plantas de marihuana de un peso neto de 35,72 kilogramos y un grado de pureza expresada en tetrahidrocannabinol que variaba entre 3,4 y 23 por 100 según las muestras, 66,1 gramos de resina de cannabis de una pureza del 11,7 por 100 del mismo principio activo, así como cajas de semillas, botes de fertilizante, una lámpara halógena y dos grupos de tubos fluorescentes. La sustancia hubiera alcanzado en el mercado ilícito un precio total de 167.364 €.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marihuana se distribuía en un local arrendado sito en un centro comercial de la localidad de Los Cristianos, Arona, entre unos socios que pagaban una cuota anual de 100 € y una cantidad de entre tres y seis euros por gramo de cannabis, permitiéndose la compra de una cantidad máxima de marihuana de tres gramos al día o de veinte gramos a la semana; esas cantidades permitían sufragar los gastos de la asociación y obtener un rendimiento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terminaba diciendo que la asociación presentó sus estatutos fundacionales ante la Consejería de Justicia del Gobierno de Canarias y el Ayuntamiento de Arona, que autorizaron su inscripción en sus respectivos registros, constando igualmente la expedición por la Agencia Tributaria a favor de la asociación de una tarjeta de identificación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desestima en el fundamento de derecho tercero de su resolución la alegación de las defensas relativa a la supuesta atipicidad de la conducta incriminada desechando que la conducta de los acusados pudiera ser encuadrable en la figura del consumo compartido, ateniéndose en este punto a la jurisprudencia fijada por la Sala Penal del Tribunal Supremo en sus sentencias núm. 484/2015, de 7 de septiembre y 596/2015, de 5 de octubre, que en supuestos similares consideraron que el riesgo incontrolado de difusión de la sustancia estupefaciente entre terceros inherente a toda estructura asociativa abierta a la incorporación escalonada de miembros generaba el riesgo abstracto definitorio del delito contra la salud pública del art. 368 del Código penal (CP) y hacía punibles estas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Establecida la ilicitud penal de la conducta, la sentencia aborda la cuestión del conocimiento que los acusados tenían de la misma, para concluir, con cita de jurisprudencia de la Sala Penal del Tribunal Supremo, y especialmente de su sentencia núm. 571/2016, de 29 de junio, que el error de prohibición alcanzó a todos los acusados —tanto asalariados como directivos de la asociación— y fue invencible por inevitable, teniendo en cuenta sus posibilidades de alcanzar un correcto conocimiento de la ilicitud. Considera relevante que los estatutos indicaban entre las actividades a desarrollar por la asociación la de cultivo compartido sin ánimo de lucro y en circuito cerrado de usuarios, y que dichos estatutos fueron visados e inscritos tanto en el registro de asociación de Canarias como en el registro municipal de asociaciones del Ayuntamiento de Arona obteniendo asimismo tarjeta de identificación fiscal. Destaca que la resolución de 23 de febrero de 2012 dictada por la Consejería de Presidencia, Justicia e Igualdad del Gobierno de Canarias, después de citar el art. 22 CE, el artículo 30 del Estatuto de Autonomía de Canarias, la Ley orgánica 1/2002, de 22 de marzo, y la Ley del Parlamento de Canarias 4/2003 de asociaciones, hace constar que examinados los estatutos y el resto de la documentación no se aprecia defecto alguno ni que la asociación esté incursa en los supuestos del artículo 22, apartados 2 y 5 de la Constitución. Concluye de ello que los demandantes de amparo cumplieron los deberes de reflexión e información exigibles para la apreciación de la inevitabilidad del error en un momento en que todavía no se había dictado la sentencia de la Sala Penal del Tribunal Supremo de 7 de septiembre de 2015 en la que se concluyó sin duda que la actividad de este tipo de asociaciones tiene reflejo típico en el art. 368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en disconformidad con la sentencia del juzgado, interpuso recurso de apelación el que el interesó la condena de los acusados por el delito objeto de acusación con la apreciación del error de prohibición en su modalidad vencible.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Santa Cruz de Tenerife en su sentencia núm. 389/2017, de 15 de septiembre, estimó parcialmente el recurso del fiscal y condenó a los tres demandantes de amparo como coautores de un delito contra la salud pública apreciando la concurrencia de un error vencible de prohibición a la pena de seis meses de prisión a cada uno de ellos, con accesoria de inhabilitación especial para el derecho de sufragio pasivo durante el mismo tiempo, multa de 83.682 € con responsabilidad personal subsidiaria de veinte días en caso de impago, decomiso de la sustancia, efectos y dinero ocupados y abono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corrige el criterio jurídico seguido por el juzgado y rechaza que la inscripción administrativa baste para descartar el conocimiento de la ilicitud, concluyendo que los tres demandantes de amparo, por su posición directiva, fueron conscientes de la posible ilicitud de su conducta y no desplegaron la diligencia necesaria para despejar las posibles dudas, lo que se infería de la ambigüedad calculada con la que habían sido definidos los fines sociales en los estatutos, la actividad real de la asociación, que cultivaba cannabis en cantidades relevantes en cuatro fincas, el rendimiento económico obtenido, que excedía los costes de su mantenimiento, y las cantidades de cannabis de las que podía hacer acopio cada socio, que hacían incontrolable su posible difusión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justifica asimismo la ausencia de vista en segunda instancia en que la revisión postulada por el fiscal era una cuestión de mera subsunción de los hechos probados en el tipo penal que no requería la alteración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actores promovieron incidente de nulidad de actuaciones al amparo del art. 241.1 de la Ley Orgánica del Poder Judicial (LOPJ) en el que reprocharon a la sentencia de segunda instancia la vulneración de su derecho a la legalidad penal por subsunción irrazonable de los hechos en el error vencible de prohibición, por aplicación retroactiva del art. 368 CP, vulneración del derecho de defensa por venir la condena de un tribunal que no les había oído, y vulneración de su derecho a la libertad y de su derecho de asociación por desproporción de la medida e irracionalidad de la subsunción jurídica. El incidente que fue inadmitido a trámite por la sección mediante providencia de 22 de febrero de 2018 en la que argumentaba que planteaba cuestiones que ya habían sido resueltas en la sentencia de apelación cuya nulidad se instaba, o que se referían a aspectos del tipo penal aplicado que eran ajenos al fallo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Siguiendo el orden de la demanda de amparo, y sin anticipar su mejor conexión sistemática a efectos de análisis y valoración, las lesiones constitucionales cuya declaración y reparación se impetra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legalidad penal reconocido en el art. 25.1 CE, en conexión con los principios de culpabilidad y de seguridad jurídica, por subsunción irracional de los hechos probados en el error de prohibición vencible, en lugar del invencible, en clara referencia a la aplicación incorrecta del art. 14.3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que los demandantes de amparo no podían saber que actuaban ilícitamente porque en la fecha en que ocurrieron los hechos, esto es, entre la constitución de la asociación el 5 de junio de 2011 y el mes de agosto de 2013 en que se practica la última incautación de plantas y enseres de cultivo, ninguna sentencia de la Sala Penal del Tribunal Supremo había declarado todavía que la imposibilidad total de erradicar el riesgo de mal uso o de desvío del cannabis por parte de los miembros de una asociación de este tipo constituía delito, pronunciamiento que no se produciría hasta el año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los estatutos de la asociación fueran ambiguos, porque en ellos se indicaba que dispondría de un cultivo para el suministro a sus socios; la asociación fue inscrita en el ámbito autonómico y local, en el registro canario de asociación y en el registro de asociaciones vecinales del Ayuntamiento de Arona, obtuvo tarjeta de identificación fiscal, y cumplía las obligaciones fiscales y con la Seguridad Social que le correspondían, sin que ninguna de las administraciones involucradas manifestara objeción alguna; reprocha por ello a la Audiencia Provincial haber verificado una aplicación lineal de la sentencia núm. 484/2015 de 7 de septiembre de la Sala Penal del Tribunal Supremo sin haber tomado en consideración las verdaderas circunstancias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legalidad penal del art. 25.1 CE por aplicación retroactiva de una nueva interpretación judicial del art. 368 CP: se refiere a la jurisprudencia definida por el Pleno de la Sala Penal del Tribunal Supremo en su sentencia 484/2015, de 7 de septiembre que afirma la ilicitud penal del cultivo colectivo desarrollado en el seno de clubes sociales de cannabis que, se argumenta, no debió aplicarse a los hechos juzgados en esta causa al haberse cometido en unas fechas en que no existía un criterio judicial claro.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la sentencia del Tribunal Europeo de Derechos Humanos de 21 de octubre de 2013 (asunto Parot contra España) que afirma que puede contravenirse el derecho a la legalidad penal garantizado en el art. 7 del Convenio europeo de derechos humanos por la aplicación retroactiva de una interpretación jurisprudencial sobrevenida que redunde en perjuicio del acusado y de sus legítimas expectativas de tratamiento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de defensa garantizado en el art. 24.2 CE por no haber sido oídos por el tribunal que les condenó originariamente, que en este caso fue la Audiencia Provincial; cita doctrina de la STC 184/2009 y del Tribunal Europeo de Derechos Humanos. Argumenta que la audiencia del acusado es exigible al tribunal de segunda instancia que revalora los hechos de una sentencia absolutoria, y que se debe entender que dicha nueva valoración se produce siempre que se constata ex novo la concurrencia de los elementos subjetivos del delito; cita doctrina de la STC 88/2013, que matiza la sentada en la STC 184/2009, en virtud de la cual el enjuiciamiento de la concurrencia de los elementos subjetivos del delito forma parte de la vertiente fáctica del juicio y exige audiencia directa del acusado; también cita la STC 146/2017, de 14 de diciembre, de la que reproduce en su integridad los fundamentos jurídicos 6 a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principio de proporcionalidad en el tratamiento de la libertad del art. 17.1 CE y del derecho a la legalidad penal del art. 25.1 CE por subsunción irrazonable de los hechos en el art. 368 del Código penal. Se argumenta en términos de falta de justificación o desproporción de la pena como medio de protección del bien jurídico de la salud pública por falta de lesividad de la conducta desarrollada por los demandantes de amparo. Se afirma que no hubo favorecimiento, facilitación o promoción del consumo de drogas susceptible de ser tipificado en el art. 368 del Código penal, y que se ha producido una interpretación del precepto que al sancionar el riesgo de difusión de la sustancia a terceros producirá un efecto de desaliento en el ejercicio inocuo de la libertad y de la autonomía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del derecho de asociación, garantizado en el art. 22 CE, que conecta con los arts. 16.1 y 9.2 CE: aduce interpretación restrictiva de los derechos de asociación y a la libertad personal, que argumenta aludiendo a su impacto adverso sobre el movimiento asociativo de usuarios de cannabis que se ha extendido y adquirido fuerza en nuestro país desde la década de los ochenta; afirma que la interpretación de la norma penal auspiciada en la condena no afecta solo a los tres demandantes de amparo sino también a las decenas de miles de ciudadanos que habrían participado en dicho movimiento asociativo bajo una confianza legítima de la legalidad de su actuación que habría sido alimentada por actuaciones externas de los mismos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 como pedimento principal la nulidad de las resoluciones judiciales impugnadas, y de manera subsidiaria, derivada de la estimación de la vulneración de la garantía de inmediación, que se retrotraigan las actuaciones al momento previo al dictado de la sentencia impugnada “para que la Audiencia Provincial de Santa Cruz de Tenerife dicte otra respetuosa con el relato de hechos probados, sin incluir en los mismos datos que provengan de una valoración sin inmediación o datos que no procedan de una inferencia plenamente concluyente de los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otrosí único se solicita asimismo, invocando el art. 56 de la Ley Orgánica del Tribunal Constitucional (LOTC), la suspensión de la ejecución de la sentencia recurrida argumentando que de la misma no se seguiría perturbación grave a un interés constitucionalmente protegido, ni a los derechos o libertades de otra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octubre de 2018 de la Sección Tercera del Tribunal Constitucional se admitió a trámite el recurso de amparo apreciando en el mismo, conforme al art. 50.1 LOTC, la especial trascendencia constitucional derivada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en aplicación del art. 51 LOTC se acordó dirigir atenta comunicación a la Sección Segunda de la Audiencia Provincial de Santa Cruz de Tenerife para remisión en plazo de diez días de certificación o fotocopia adverada del rollo de apelación núm. 823-2017, y en los mismos términos al Juzgado de lo Penal núm. 5 de Santa Cruz de Tenerife para remisión de certificación o fotocopia adverada del procedimiento abreviado núm. 289-2016, con previo emplazamiento de quienes hubieran sido parte en el procedimiento, salvo la parte recurrente en amparo, para que en el plazo de diez días pudieran comparecer si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octubre de 2018 la Sala Segunda del Tribunal Constitucional abrió pieza separada para la tramitación del incidente de suspensión conforme al art. 56 LOTC, y otorgó plazo común de tres días a la parte recurrente y al ministerio fiscal para formular alegaciones: la parte recurrente evacuó escrito instando la suspensión de todos los pronunciamientos recogidos en el fallo de la sentencia impugnada aduciendo perjuicios irreparables para los demandantes de no accederse a la suspensión, inexistencia de perturbación grave de un interés constitucionalmente protegido o de los derechos y libertades de otras personas, y pérdida de efectividad de la sentencia de amparo; el ministerio fiscal evacuó por su parte escrito en el que apoyó la suspensión de la pena de prisión y de su accesoria, pero no la suspensión de la multa, por ser esta susceptible de restitución íntegra, ni de la responsabilidad personal subsidiaria, por su carácter eventual o incierto en el momento de evacuarse el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Constitucional mediante auto de 26 de noviembre de 2018 accedió a la suspensión de la pena de prisión de seis meses atendiendo a que su magnitud temporal determinaría en caso de ejecución un perjuicio irreparable y la ineficacia de un posible fallo estimatorio del amparo, y también la suspensión de la pena accesoria de inhabilitación especial para el ejercicio del derecho de sufragio pasivo durante el tiempo de la condena, en base a consolidada doctrina que establece que la pena accesoria debe seguir con carácter general la suerte de la principal, denegando en cambio la suspensión de la ejecución de la pena de multa, por ser susceptible de restitución ulterior y por no haberse alegado ninguna dificultad de pago, y de la responsabilidad personal subsidiaria, por ser de momento una eventualidad futura, sin perjuicio de lo que se pudiera resolver a instancia de los demandantes en un momento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recibidos los testimonios solicitados y cumplimentados los emplazamientos, la Sala Segunda por diligencia de ordenación de su secretario de justicia de 18 de diciembre de 2018 acordó dar vista de las actuaciones a la parte recurrente y al ministerio fiscal por un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no evacuó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mediante escrito registrado el 31 de enero de 2019 en el que interesó, con otorgamiento parcial del amparo, que se declarase la vulneración del derecho fundamental de defensa de los demandantes (art. 24.2 CE) y que se les restableciese en el mismo mediante la declaración de nulidad de la sentencia núm. 389/2017, de 15 de septiembre, de la Sección Segunda de la Audiencia Provincial de Santa Cruz de Tenerife y de la providencia de la misma sala y sección de 22 de febrero de 2018, con retroacción de las actuaciones al momento inmediatamente anterior al dictado de la sentencia para que por el mismo órgano judicial se procediera de modo respetuoso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destaca en primer lugar la similitud sustancial de las alegaciones deducidas en el presente recurso de amparo, salvo la relativa al derecho de asociación, con las que fueron en su día planteadas en el recurso de amparo núm. 1659-2016, que dio lugar a la STC 146/2017, de 14 de diciembre, que fija doctrina sobre condenas a miembros de asociaciones cannábicas, y en los recursos de amparo núms. 1846-2016 y 1889-2016, que dieron lugar a las SSTC 36/2018 y 37/2018, de 23 de abril, de aplicación de dicha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estas sentencias proporcionan los argumentos que justifican la desestimación de las alegaciones de vulneración de la legalidad penal y derechos asociados —primera, segunda y cuarta— al tiempo que defiende el rechazo de la alegación de vulneración del derecho de asociación (art. 22 CE), que el motivo quinto de la demanda vincula a la subsunción judicial de los hechos en el art. 368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pone de relieve la repercusión social de colectividades de personas que como manifestación de su autonomía personal deciden unirse bajo una forma asociativa para producir y consumir cannabis, realidad que ha sido objeto de regulación en leyes autonómicas y ordenanzas municipales y que la interpretación restrictiva dada por la sentencia cuya nulidad se solicita es contraria a dicha realidad e incluso la cercena.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exponer la naturaleza del derecho de asociación y las facultades inherentes al mismo según consolidada doctrina constitucional, señala que (i) como ocurre con el resto de los derechos fundamentales, no es un derecho absoluto e ilimitado, sino que puede ser sometido a restricciones, siendo la más evidente la especificada en el apartado 2 del art. 22 CE y en el numeral 7 del art. 2 de la Ley Orgánica 1/2002, de 22 de marzo, reguladora del derecho de asociación, a saber, la ilegalidad de las asociaciones que persigan fines o utilicen medios tipificados como delito; (ii) que el encuadramiento típico en el art. 368 CP de los mismos comportamientos ha sido realizado en las sentencias de la Sala Penal del Tribunal Supremo núm. 484/2015, de 7 de septiembre, 596/2015, de 5 de octubre, y 788/2015, de 9 de diciembre, validadas por el Tribunal Constitucional en las SSTC 146/2017, 36/2018 y 37/2018.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existencia de intentos de regulación autonómica y local del fenómeno de las asociaciones cannábicas, el fiscal recuerda que la STC 100/2018, de 19 de septiembre ha declarado inconstitucional y nula la Ley del Parlamento de Cataluña 13/2017, de 6 de julio, de las asociaciones de consumidores de cannabis, y que la STC 144/2017, de 14 de diciembre ha declarado también inconstitucional y nula la Ley Foral 24/2014, de 2 de diciembre, reguladora de los colectivos de usuarios de cannabis en Navarra, basándose en la prevalencia del título competencial estatal en materia de legislación penal del art. 149.1.6 CE y la posible incidencia de las normas autonómicas en el tipo penal citado, al tratar de establecer una cobertura legal dirigida a evitar cualquier consecuencia incriminatoria en vía penal o administrativa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el fiscal seguidamente la alegación de vulneración del derecho de defensa de los recurrentes (art. 24.2 CE) por no haber sido escuchados por el tribunal que les condena por primera vez y dictamina que las razones que avalan la concesión del amparo vienen dadas en los fundamentos jurídicos 6, 7 y 8 de la STC 146/2017, de 14 de diciembre, que trató un caso similar en el que se examinó en la segunda instancia la conciencia de la antijuridicidad de la conducta que abrigaban los acusados y la concurrencia de un error vencible o invencible del art. 14 CP, decantándose el tribunal por una exoneración parcial determinante de su condena sin atender a la exigencia de audiencia personal de los acusados como garantía específica del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también aquí el razonamiento de la Audiencia Provincial versó sobre la intención de los acusados inferida de los hechos probados completados y reinterpretados con el examen cuanto menos de la prueba documental, por lo que la acusación no podía ser resuelta sin dar la posibilidad a los recurrentes de ser oídos personalmente y sin que dicha garantía pudiera ser sustituida por el trámite de alegaciones concedido a su abogado en virtud del art. 790.5 de la Ley de enjuiciamiento criminal dadas las cuestiones de hecho y de derecho determinantes de la culpabilidad o inocencia de los acusados. Como ocurrió en los casos dirimidos en las SSTC 146/2017 y 37/2018, la reconsideración de los hechos probados no se limitó a una mera discrepancia jurídica, sino a la apreciación de la posibilidad de conocer lo ilícito de su conducta, concluyendo con la alternativa de error vencible de prohibición que agravaba la absolución de la instancia, por lo que la posibilidad de los condenados de ser oídos era obligada para garantizar su defensa (STEDH de 8 de marzo de 2016, asunto Porcel Terribas y otros c. España). Entiende por ello que se ha producido la vulneración del derecho de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mayo de 2019 se acordó señalar para deliberación y votación de la presente sentencia el día 3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contra la sentencia de la Sección Segunda de la Audiencia Provincial de Santa Cruz de Tenerife núm. 389/2017, de 15 de septiembre, que condenó en segunda instancia a los demandantes por un delito contra la salud pública, revocando la absolución de primera instancia, y contra la providencia de la misma sección de 22 de febrero de 2018 que inadmitió a trámite el incidente de nulidad de actuaciones que los actores promovieron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argumentan que su condena (i) vulnera su derecho a la legalidad penal por ser el fruto de la irracional subsunción de los hechos probados en el tipo penal del art. 368 del Código penal (CP) y en la modalidad vencible del error de prohibición del art. 14.3 CP, (ii) vulnera su derecho de asociación por el mismo motivo y (iii) vulnera su derecho de defensa por haber sido dictada originariamente en segunda instancia por un tribunal que no les ha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tal y como ha quedado expuesto en los antecedentes, considera carentes del debido fundamento las denuncias de vulneración de los derechos sustantivos a la legalidad penal y de asociación, pero estima justificada la denuncia de vulneración de su derecho de defensa, por lo que solicita la nulidad de las resoluciones judiciales impugnadas con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del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115/2002, de 20 de mayo, FJ 3; 65/2003, de 7 de abril, FJ 2; 198/2003, de 10 de noviembre, FJ 3; 126/2010, de 29 de noviembre, FJ 2, y 105/2013, de 6 de mayo, hemos declarado que corresponde a este Tribunal, en función de las circunstancias concurrentes en cada supuesto concreto, determinar no solo el orden del examen de las quejas, sino también si resulta necesario o conveniente pronunciarse en sentencia sobre todas las lesiones de derechos constitucionales denunciadas, en el caso de que ya se haya apreciado la concurrencia de alguna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visto el contenido de las argumentaciones efectuadas en la demanda, la naturaleza material y procesal de sus fundamentos y el informe evacuado por el ministerio fiscal, procede ordenar sistemáticamente los motivos de amparo dando prioridad a los de naturaleza sustantiva, de cuya estimación se seguiría el efecto de la nulidad radical de las resoluciones impugnadas, empezando por los relativos al principio de legalidad penal (primero, segundo y cuarto, que se tratarán en los fundamentos de derecho tercero y cuarto de esta resolución), siguiendo por los relativos al derecho de asociación (quinto, que se tratará en el fundamento de derecho quinto), para abordar en último lugar el fundamento de la denuncia de vulneración del derecho de defensa (motivo tercero, que se tratará en el fundamento de derecho sexto), cuya estimación, que ya podemos anticipar por tratarse de una cuestión resuelta por este Tribunal, habrá de determinar una mera retroacción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vulneración del derecho a la legalidad penal por irracional subsunción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amparo primero y cuarto vienen a aseverar que la condena de los demandantes dictada por la Audiencia Provincial lesiona su derecho a la legalidad penal reconocido en el art. 25.1 CE por incurrir en graves errores de subsunción jurídica que se habrían consumado en dos fases, primero al encuadrar en el delito contra la salud pública previsto y penado en el art. 368 del Código penal la participación de los actores en una actividad asociativa inocua para la salud pública general por su carácter limitado y acotado a sus miembros, y seguidamente al no aplicarles el efecto exoneratorio que el art. 14.3 CP anuda al error invencible de prohibición que ha de beneficiar a quien actúa con el convencimiento de no haber traspasado los márgenes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estas alegaciones la demanda hace aflorar nuevamente la cuestión de la legitimidad constitucional a la luz del principio de legalidad penal del art. 25.1 CE del tratamiento que desde el plano legal y jurisprudencial recibe en nuestro país la actividad de cultivo compartido de cannabis en el seno de asociaciones de usuarios de dicha sustancia, cuestión que ha sido dirimida en sentido favorable a su validez en la STC 146/2017, de 14 de diciembre, citada en la demanda, y de inexcusable referencia, cuya doctrina, como bien indica el Ministerio Fiscal, se ha visto confirmada en las posteriores SSTC 36/2018 y 37/2018, de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146/2017, de 14 de diciembre valida la constitucionalidad del juicio positivo de tipicidad efectuado por la Sala de lo Penal del Tribunal Supremo en su sentencia de 7 de septiembre de 2015, que es la que invocan precisamente las resoluciones judiciales impugnadas en este recurso de amparo para desestimar la alegada falta de tipicidad de la conducta de los demandantes, a los que se absuelve en primera instancia por una causa excluyente de la culpabilidad, no de la antijuridicidad.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meritada sentencia este Tribunal dijo que la redacción del art. 368 del Código Penal “no contempla un tipo delictivo de formulación tan abierta que respalde el ejercicio de una decisión prácticamente libre y arbitraria” toda vez que utiliza “verbos de uso habitual en el lenguaje y de conocimiento accesible como cultivar, elaborar, traficar, promover, favorecer o facilitar el consumo ilegal de drogas tóxicas, estupefacientes o sustancias psicotrópicas, [que] no dejan en la indefinición la conducta típica”, por lo que descarta que el precepto incumpla las exigencias materiales de taxatividad inherentes al art. 25.1 CE [STC 146/2017,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que el canon de razonabilidad de la operación judicial de subsunción de los hechos probados en la norma penal o sancionadora fija como primer criterio el de “la compatibilidad de dicha subsunción con el tenor literal de la norma, con la consiguiente prohibición de la analogía in malam partem” al que se añade “un doble parámetro de razonabilidad: metodológico, dirigido a comprobar que la exégesis de la norma y subsunción en ella de las conductas contempladas no incurre en quiebras lógicas y resultan acordes con modelos de argumentación aceptados por la comunidad jurídica; y axiológico, consistente en verificar la correspondencia de la aplicación del precepto con las pautas valorativas que informan el ordenamiento constitucional”, para concluir que la condena de los miembros de una asociación cannábica de características similares satisfacía el canon “en consideración a la magnitud de las cantidades de droga manejadas, el riesgo real y patente de difusión del consumo, la imposibilidad de constatar con plena certidumbre la condición de consumidores habituales de la sustancia y la de controlar el destino que pudieran dar al cannabis sus receptores” añadiendo que “[e]s claro que no contraviene el tenor literal del precepto considerar subsumibles en el tipo penal las actividades dirigidas a facilitar cannabis a consumidores o consistentes en cultivar, producir, preparar, envasar y entregar la sustancia tóxica a los socios para su consumo, así como en tener a disposición para su entrega de una importante cantidad de cannabis (un total de 4.750 gramos). Como tampoco resulta extravagante, ni desborda los contornos del artículo 368 CP, entender que una asociación dedicada a cultivar y facilitar cannabis a sus miembros, institucionalizada, con vocación de permanencia y abierta a la integración sucesiva y escalonada de un número elevado e indeterminado de personas, no deba verse beneficiada por la exoneración de la responsabilidad penal derivada del consumo compartido” [STC 146/2017,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apreciación del error de prohibición como vencible, este Tribunal dijo que “no se trata de un problema de subsunción penal” sino de un juicio de inferencia basado en que “los recurrentes albergaban dudas sobre la ilicitud de su conducta y sin embargo no trataron de verificar si esa actividad era conforme a derecho”, en la existencia de “un precedente jurisprudencial que resuelve un caso similar citado por el Tribunal Supremo y a la evidencia de que la conducta de los recurrentes desbordaba los contornos del atípico consumo compartido”, añadiendo que en cualquier caso “tampoco la subsunción penal puede considerarse intolerable desde los fundamentos teleológicos de la norma, en conexión con el bien jurídico protegido, ni reprochable desde la perspectiva axiológica, al no contravenir valores, principios contenidos en la Constitución y en diversos convenios internacionales, entre otras, la Convención Única de Naciones Unidas sobre estupefacientes de 1961, que reconoce que la ‘toxicomanía constituye un mal grave para el individuo y entraña un peligro social y económico para la humanidad’ y la Decisión marco 2004/757/JAI del Consejo, de 25 de octubre de 2004, relativa al establecimiento de disposiciones mínimas de los elementos constitutivos de delitos y las penas aplicables en el ámbito del tráfico ilícito de drogas” [STC 146/2017,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cita de esta doctrina excusa de mayor razonamiento para desechar que la aplicación del art. 368 CP pueda considerarse fruto de una voluntarista extensión a conductas no comprendidas en su supuesto de hecho, pues la asociación constituida y regida por los actores responde a la misma tipología.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apreciación al caso del error de prohibición como vencible, la Audiencia Provincial lo sustenta, con un complemento del factum cuya legitimidad constitucional será analizada más tarde, en la ambigüedad calculada con la que habían sido definidos los fines sociales en los estatutos, la actividad real de la asociación, que se dedicaba efectivamente al cultivo de cannabis en cantidades relevantes en cuatro fincas, lo que no se correspondía exactamente con los fines declarados en los estatutos administrativamente registrados, el rendimiento económico obtenido, que excedía los costes de su mantenimiento y daba margen a un cierto lucro, y singularmente las cantidades de cannabis de las que podía hacer acopio cada socio, que hacían incontrolable por sus directivos su eventual difusión a terceros, con la consecuente puesta en peligro del bien jurídico protegido, elementos que llevan al tribunal a descartar la inevitabilidad del error y el efecto exoneratorio previsto en el art. 14.3 CP para los casos de error invencible de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argumentación que no presenta fallas argumentales, ni contraviene el tenor literal de la norma aplicada, ni la finalidad a la que responde como medio de concreción del grado de culpabilidad del autor por el hecho punible cometido, por lo que no contraviene el principio de legalidad penal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procede desestimar la vulneración del derecho a la legalidad penal invocada en los motivos primero y cuarto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vulneración del derecho a la legalidad penal por aplicación retroactiva de jurisprudencia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formula esta denuncia como segundo motivo de amparo, suscitando una cuestión zanjada igualmente en la STC 146/2017, FJ 5, donde se niega la premisa mayor de que se haya producido una modificación del criterio jurisprudencial susceptible de cercenar legítimas expectativas de recibir un trato penal más benévolo: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 los demandantes como fundamento de su pretensión anulatoria la doctrina emanada de la STEDH de 21 de octubre de 2013 (asunto del Río Prada c. España). Sin embargo, el caso sometido a nuestro enjuiciamiento, a diferencia del abordado por la Sentencia indicada, no ha supuesto una aplicación retroactiva de una interpretación jurisprudencial desfavorable e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presente caso, como se pone de manifiesto en las resoluciones impugnadas, había ya un precedente jurisprudencial que abordaba un caso similar al resuelto en la primera STS 484/2015. En efecto, en la STS 1377/1997, de 17 de noviembre, que estimó el recurso de casación por infracción de ley interpuesto por el Ministerio Fiscal contra la sentencia de primera instancia que absolvió a los procesados del delito de cultivo de drogas y estupefacientes, el Tribunal Supremo se pronunció en términos contundentes, al condenar a los responsables de una asociación de similar naturaleza a la constituida y dirigida por los demandantes, que había arrendado una finca para plantación de cannabis y la destinaba exclusivamente al autoconsumo de sus socios”.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precedente de la Sala Penal del Tribunal Supremo al que alude la STC 146/2017 disipaba ya en la fecha de realización de los hechos enjuiciados en el procedimiento antecedente toda expectativa de recibir un tratamiento penal distinto y más favorable, pues de dicho precedente cabía extraer con meridiana claridad la conclusión de que el cultivo compartido de cannabis en el ámbito de una asociación no podía aspirar al grado de tolerancia judicial que los demandantes de amparo afirman que era objetivamente esperable.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la desestimación del segundo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vulneración del derecho de asociación.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Denuncian los demandantes que su condena constituye una ilegítima restricción en su derecho fundamental de asociación y que genera un efecto disuasorio sobre la vocación asociativa de muchas otras personas usuarias de cannabis. Se trata de una aseveración cuya sostenibilidad depende de que sea dable considerar que la conducta enjuiciada y castigada en el proceso penal antecedente permanece intramuros del ámbito constitucionalmente protegido por el art. 22 CE, y por lo tanto inmune a la injerencia estatal, encuadramiento que el ministerio fiscal rechaza en sus alegaciones apelando a la explícita exclusión que el art. 22.2 CE y su legislación de desarrollo hacen de las asociaciones que persigan fines o utilicen medios tipificados como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ha identificado cuatro facetas integrantes del derecho genérico de asociación: la libertad de creación de asociaciones y de adscripción a las ya creadas, la libertad de no asociarse y de dejar de pertenecer a las mismas, la libertad de organización y funcionamiento internos sin injerencias públicas, y una dimensión inter privatos que garantiza un haz de facultades a los asociados considerados individualmente frente a las asociaciones a las que pertenezcan o a los particulares respecto de las asociaciones a las cuales pretendan incorporarse (por todas, STC 42/2011, de 11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tres primeras facetas configuran un status libertatis o poder de resistencia frente a la intervención de los poderes públicos que podría verse potencialmente amenazado por el ilegítimo ejercicio de potestades sancionadoras o punitivas.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determinación de la legitimidad de la reacción penal se ha de tener en cuenta que “el derecho de asociación ‘no tiene carácter absoluto y colinda con los demás derechos de la misma índole y los derechos de los demás’ (STC 104/1999, de 14 de junio, FJ 2 y ATC 213/1991, de 4 de julio, FJ 2) ya que ‘los derechos fundamentales no son derechos absolutos e ilimitados. Por el contrario, su ejercicio está sujeto tanto a límites establecidos directamente en la propia Constitución como a otros que puedan fijarse para proteger o preservar otros derechos fundamentales, valores o bienes constitucionalmente protegidos o intereses constitucionalmente relevantes (entre otras muchas, SSTC 1/1981, 2/1982, 91/1983, 22/1984, 110/1984, 77/1985, 159/1986, 120/1990, 181/1990 y 143/1994)’ (ATC 254/2001, de 20 de septiembre, FJ 4)” [STC 42/2011,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una perspectiva normativa, el derecho fundamental de asociación presenta un límite inserto en su originaria configuración constitucional al establecer el apartado segundo del art. 22 CE que “las asociaciones que persigan fines o utilicen medios tipificados como delito son ilegales”, proposición que reproduce el art. 2.7 de la Ley Orgánica 1/2002, de 22 de marzo, reguladora del derecho de asociación, a la que se suma la prohibición de “las asociaciones secretas y las de carácter paramilitar” proclamada en su apartado quinto. Estas fórmulas del constituyente configuran límites internos del derecho fundamental que concretan en sentido negativo el espacio de inmunidad al que pueden aspirar legítimamente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desde una perspectiva material, la decisión del legislador encarnada en el art. 368 CP de perseguir criminalmente actos de favorecimiento del consumo ilegal de estupefacientes que ponen en riesgo la salud pública cumplimenta un deber general más amplio que a todos los poderes públicos alcanza de garantizar la salud de los ciudadanos como derecho individual (art. 43.1 CE) y la salud pública como bien colectivo (art. 43.2 CE) representativo de “un valor de indudable relevancia constitucional” (STC 139/2016, de 21 de julio, FJ 8, y AATC 96/2011, de 21 de junio, FJ 5, y 221/2009, de 21 de julio, FJ 4) susceptible como tal de limitar en determinadas circunstancias el ejercicio de otros derechos y libertades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habiéndose descartado en el fundamento de derecho tercero de esta resolución que la condena impuesta a los recurrentes en amparo haya sido el producto de una aplicación extensiva de dicho precepto penal, la condena no puede ser calificada de injerencia ilegítima en el derecho fundamental de asociación, pues es claro que el art. 22 CE no pretende establecer espacios de inmunidad frente a la vigencia de las normas penales y del interés general en la preservación de los bienes y valores que las mismas protegen.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lógica consecuencia, también se imponen ciertas restricciones al régimen jurídico de las asociaciones en aquellos casos en que inciden sobre bienes o intereses sujetos a tutela penal, como se desprende de los pronunciamientos recientemente adoptados por este Tribunal en materia competencial al efectuar el control abstracto de constitucionalidad de cierta legislación autonómica reguladora de las asociaciones de usuarios de cannabis.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distinguido conceptualmente dos tipos de clubes de cannabis, los que sirven de instrumento para “el abastecimiento, dispensación y consumo de cannabis”, y los “dirigidos a fines relacionados con el cannabis pero distintos de su obtención y consumo (fines informativos, de estudio, debate y similares)”, para rechazar que las comunidades autónomas puedan proyectar sus potestades legislativas sobre los primeros por su potencial incidencia en el título competencial exclusivo y prevalente del Estado en materia de legislación penal ex art. 149.1.6 CE [vid. SSTC 144/2017, de 14 de diciembre, FFJJ 3 y 4, en relación con la Ley Foral 24/2014, de 2 de diciembre, reguladora de los colectivos de usuarios de cannabis en Navarra; 29/2018, de 8 de marzo, FFJJ 2 y 3, en relación con el art. 83 de la Ley del Parlamento Vasco 1/2016, de 7 de abril, de atención integral de adicciones y drogodependencias, y 100/2018, de 19 de septiembre, FFJJ 3 a 5, en relación con la Ley del Parlamento de Cataluña 13/2017, de 6 de julio, de las asociaciones de consumidores de cannabis].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estas leyes se dijo que “aunque estemos ante una normativa autorizadora o habilitante (no represiva, ni punitiva, ni restrictiva de bienes jurídicos en el sentido que es propio de las normas penales y administrativas sancionadoras), se trata de una regulación con incidencia innegable sobre la delimitación del tipo penal correspondiente. Si, en determinados supuestos, las asociaciones de usuarios de cannabis que la norma autonómica contempla pudieran llegar a normalizar actividades que, como la promoción y facilitación del consumo ilegal de estupefacientes, son delictivas, ello supondría que dicha norma, por el solo hecho de permitir y regular tales asociaciones, estaría incidiendo en los tipos penales, cuya definición es de exclusiva competencia estatal y que el legislador autonómico no puede ni alterar, ni concretar, ni delimitar. Aun no tratándose, pues, de una norma penal propiamente dicha, si autorizara comportamientos contemplados en la legislación penal como delictivos, estaría la Ley que nos ocupa menoscabando el ejercicio de la competencia estatal”, razón por la cual rechazamos que la normativa autonómica pudiera “establecer una cobertura legal para las actividades de consumo de cannabis, invocando el ejercicio legítimo de un derecho fundamental, el de asociación, para así evitar cualquier consecuencia incriminatoria, ya lo sea en vía penal o en la vía administrativa sancionadora” (STC 144/2017,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el derecho de asociación carece de virtualidad para normalizar las conductas seleccionadas por sus titulares en el momento de su ejercicio al definir el objeto, actividades y fines a las que se va a consagrar una determinada asociación, si se trata de conductas con relevancia penal. En el presente caso la asociación constituida y regida por los demandantes de amparo respondía, según se desprende del relato de hechos probados consolidado en las sentencias impugnadas, a la tipología primera, de cultivo y consumo compartido, por lo que al ser instrumento para “el abastecimiento, dispensación y consumo de cannabis” e incidir en el ámbito del art. 368 del Código penal, no podía servir de cobertura justificativa de dicha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procede desestimar que se haya producido la vulneración del derecho de asociación de los recurrentes invocada en el motivo quinto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el respeto del derecho de defensa de los acusados en la segunda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procedimiento antecedente fue objeto de debate contradictorio tanto la posible concurrencia de la excepción de tipicidad del autoconsumo compartido, de origen jurisprudencial, que el juzgado desestimó, como la concurrencia en los acusados de un error de prohibición, que el juzgado estimó y apreció como invencible, lo que condujo a la absolución de todos los acusados, y que la Audiencia Provincial, al resolver el recurso de apelación del fiscal, apreció como vencible en los recurrentes en amparo, lo que determinó la condena que es ahora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censura, en síntesis, que la Audiencia Provincial haya condenado a los actores mediante una nueva valoración de la dimensión subjetiva de su conducta sin haberles oído en persona. Suscita así la cuestión de las garantías procesales aplicables a los miembros de asociaciones cannábicas que resultan condenados en segunda instancia mediante un juicio renovado de su conocimiento de la ilicitud del acto —el conocimiento que tenían o debían tener sobre el carácter prohibido de su conducta— que fue específicamente abordada y resuelta en la STC 146/2017, de 14 de diciembre y en pronunciamientos ulteriores (las ya citadas SSTC 36/2018 y 37/2018, de 23 de abril) doctrina que debe ser preservada ante el riesgo de interpretaciones contradictorias de los órganos del Poder Judicial, lo que ha llevado a este Tribunal a apreciar la especial trascendencia constitucional del presente recurso de amparo en los términos del supuesto enunciado en la letra e) de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argumenta el fiscal en su escrito de alegaciones, aunque las SSTC 146/2017, de 14 de diciembre, y 36/2018 y 37/2018, de 23 de abril, se refieren a condenas dictadas por la Sala Penal del Tribunal Supremo al resolver recursos de casación contra sentencias absolutorias dictadas por Audiencias Provinciales, el criterio seguido en las mismas es directamente aplicable a casos como el presente que tratan de condenas dictadas por primera vez por un tribunal de segunda instancia que juzga la culpabilidad de unos acusados a los que no ha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146/2017 sintetiza doctrina constitucional consolidada “según la cual resulta contrario a un proceso con todas las garantías que un órgano judicial, conociendo a través de recurso, condene a quien había sido absuelto en la instancia o empeore su situación como consecuencia de una nueva fijación de los hechos probados que encuentre su origen en la reconsideración de pruebas cuya correcta y adecuada apreciación exija necesariamente que se practiquen en presencia del órgano judicial que las valora —como es el caso de las declaraciones de testigos, peritos y acusados (así, entre otras, SSTC 197/2002, de 28 de octubre, FJ 4, o 1/2010, de 11 de enero, FJ 3)—, sin haber celebrado una vista pública en que se haya desarrollado con todas las garantías dicha actividad probatoria” (STC 146/2017,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seguidamente que este Tribunal amplió las garantías de los acusados en segunda instancia en lo referente a la acreditación de los elementos subjetivos del delito cuando “perfilando el criterio de la STC 184/2009, afirmó ‘que también el enjuiciamiento sobre la concurrencia de los elementos subjetivos del delito forma parte, a estos efectos, de la vertiente fáctica del juicio que corresponde efectuar a los órganos judiciales, debiendo distinguirse del mismo el relativo a la estricta calificación jurídica que deba asignarse a los hechos una vez acreditada su existencia. De este modo, si bien la revisión de la razonabilidad de las inferencias a partir de la cual el órgano a quo llega a su conclusión sobre la inexistencia de dolo —u otro elemento subjetivo del tipo— no precisará de la garantía de inmediación si tal enjuiciamiento no se produce a partir de la valoración de declaraciones testificales, sí deberá venir presidido, en todo caso, por la previa audiencia al acusado’ (STC 126/2012, de 18 de junio, FJ 4).” [STC 146/2017,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entonces que esta ampliación de garantías “era el corolario de la recepción de las SSTEDH de 10 de marzo de 2009, asunto Igual Coll c. España, § 27; 21 de septiembre de 2010, asunto Marcos Barrios c. España, § 32; 16 de noviembre de 2010, asunto García Hernández c. España, § 25; 25 de octubre de 2011, asunto Almenara Álvarez c. España, §39; 22 de noviembre de 2011, asunto Lacadena Calero c. España, § 38; 13 de diciembre de 2011, asunto Valbuena Redondo c. España, § 29; 20 de marzo de 2012, asunto Serrano Contreras c. España, § 31. A las que siguieron con posterioridad la STEDH de 27 de noviembre de 2012, asunto Vilanova Goterris y Llop García c. España, y la STEDH de 13 de junio de 2017, asunto Atutxa Mendiola y otros c. España (§ 41 a 46)”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expresada en la sentencia de la Audiencia Provincial objeto de impugnación de que la revisión de la absolución no requería la previa audiencia de los acusados porque se trataba de una cuestión de mera subsunción jurídica es incompatible con la doctrina constitucional citada, que al considerar integrados los elementos subjetivos del delito en la vertiente fáctica del juicio determina que su inferencia judicial deba respetar la garantía de la inmediación en la valoración de las pruebas personales e ir precedida en todo caso de la audiencia personal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exigencias no las satisface la condena objeto de impugnación en el presente recurso de amparo por cuanto (i) revalora un material probatorio de procedencia variada, que abarca documentos, testimonios y pruebas periciales y (ii) se sustenta en un razonamiento deductivo no precedido de la percepción inmediata y personal por el tribunal que juzga de las manifestaciones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sentencia de la Audiencia Provincial sostiene, rectificando el criterio de la primera instancia, que la autorización administrativa de inscripción de la asociación cannábica a la que pertenecían los actores en los registros autonómico y municipal no acreditaba que hubieran incurrido en un error pleno sobre la significación antijurídica de su conducta, y reexaminando el resultado de la actividad probatoria practicada en la instancia expone las razones en las que asienta la conclusión de que los acusados no hicieron el esfuerzo mínimo exigible para salir de su error o despejar sus dudas, completando el factum con unos elementos de índole anímica o interna vinculados con la culpabilidad en función del efecto de exoneración o atenuación previsto para el error de prohibición en el artículo 14.3 CP [STC 36/2018, de 23 de abril, FJ 7 b)]. Se trataba de una cuestión que afectaba a la declaración de culpabilidad o inocencia y que por lo tanto no podía ser resuelta sin dar la posibilidad a los recurrentes de ser oídos personalmente, sin que dicha garantía pudiera ser sustituida por el trámite de alegaciones concedido a su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este proceder el tribunal orilló las declaraciones efectuadas por los acusados, que en la primera instancia y subsiguiente recurso de apelación alegaron haber actuado con el convencimiento de que su actividad asociativa era conforme a la legalidad por haber sido administrativamente tolerada, rectificando la valoración que de las mismas había efectuado el juzgado de lo penal y rehusándoles la oportunidad de ser oídos antes de dictar el que sería primer pronunciamiento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ocurrió en el supuesto dirimido en la STC 146/2017, “la reconsideración de los hechos estimados probados en primera instancia no se limitó a una mera discrepancia jurídica, sino a la apreciación de la posibilidad de conocer lo ilícito de su conducta, concluyendo con la alternativa —error vencible de prohibición— que agravaba la absolución de la instancia, por lo que la posibilidad de los condenados de ser oídos era obligada para garantizar su defensa (por todas, la reciente STEDH de 8 de marzo de 2016, asunto Porcel Terribas y otros c. España)” [STC 146/2017,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procede declarar que se ha vulnerado el derecho de los recurrentes en amparo a un proceso con todas las garantías y su derecho de defensa reconocidos en el art. 24.2 CE por la sentencia dictada en apelación por la Audiencia Provincial. Para el pleno restablecimiento de estos derechos, procede la anulación de la sentencia de la Audiencia Provincial y de la ulterior providencia que no reparó dichas vulneraciones, con retroacción de las actuaciones al momento previo al dictado de la sentencia en segunda instancia para que se proceda por el mismo tribunal de una forma respetuosa con estos derechos.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Stephan Rudolf Werner, don Arnaud Ronnet y don Fernando Gastón Cerega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han vulnerado los derechos de los demandantes a un proceso con todas las garantías y a la defensa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Santa Cruz de Tenerife núm. 389/2017, de 15 de septiembre, y de la providencia de la misma sección de 22 de febrero de 2018, retrotrayendo las actuaciones al momento inmediatamente anterior al dictado de la sentencia, para que la Audiencia Provincial proceda en relación con el recurso de apelación interpuesto por el ministerio fiscal de modo respetuoso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